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9DF712"/>
    <w:p w14:paraId="415D295D">
      <w:pPr>
        <w:spacing w:line="540" w:lineRule="exact"/>
        <w:jc w:val="center"/>
        <w:rPr>
          <w:rFonts w:eastAsia="华文中宋"/>
          <w:b/>
          <w:kern w:val="0"/>
          <w:sz w:val="52"/>
          <w:szCs w:val="52"/>
          <w:highlight w:val="none"/>
        </w:rPr>
      </w:pPr>
    </w:p>
    <w:p w14:paraId="04B13F11">
      <w:pPr>
        <w:spacing w:line="540" w:lineRule="exact"/>
        <w:rPr>
          <w:rFonts w:eastAsia="华文中宋"/>
          <w:b/>
          <w:kern w:val="0"/>
          <w:sz w:val="52"/>
          <w:szCs w:val="52"/>
          <w:highlight w:val="none"/>
        </w:rPr>
      </w:pPr>
    </w:p>
    <w:p w14:paraId="7CDBEB43">
      <w:pPr>
        <w:spacing w:line="540" w:lineRule="exact"/>
        <w:jc w:val="center"/>
        <w:rPr>
          <w:rFonts w:eastAsia="华文中宋"/>
          <w:b/>
          <w:kern w:val="0"/>
          <w:sz w:val="52"/>
          <w:szCs w:val="52"/>
          <w:highlight w:val="none"/>
        </w:rPr>
      </w:pPr>
    </w:p>
    <w:p w14:paraId="7819664B">
      <w:pPr>
        <w:spacing w:line="540" w:lineRule="exact"/>
        <w:jc w:val="center"/>
        <w:rPr>
          <w:rFonts w:eastAsia="华文中宋"/>
          <w:b/>
          <w:kern w:val="0"/>
          <w:sz w:val="52"/>
          <w:szCs w:val="52"/>
          <w:highlight w:val="none"/>
        </w:rPr>
      </w:pPr>
    </w:p>
    <w:p w14:paraId="46087639">
      <w:pPr>
        <w:spacing w:line="540" w:lineRule="exact"/>
        <w:jc w:val="center"/>
        <w:rPr>
          <w:rFonts w:hint="eastAsia" w:ascii="方正小标宋简体" w:hAnsi="方正小标宋简体" w:eastAsia="方正小标宋简体" w:cs="方正小标宋简体"/>
          <w:kern w:val="0"/>
          <w:sz w:val="44"/>
          <w:szCs w:val="44"/>
          <w:highlight w:val="none"/>
        </w:rPr>
      </w:pPr>
      <w:r>
        <w:rPr>
          <w:rFonts w:hint="eastAsia" w:ascii="方正小标宋简体" w:hAnsi="方正小标宋简体" w:eastAsia="方正小标宋简体" w:cs="方正小标宋简体"/>
          <w:kern w:val="0"/>
          <w:sz w:val="44"/>
          <w:szCs w:val="44"/>
          <w:highlight w:val="none"/>
          <w:lang w:val="en-US" w:eastAsia="zh-CN"/>
        </w:rPr>
        <w:t>自治区</w:t>
      </w:r>
      <w:r>
        <w:rPr>
          <w:rFonts w:hint="eastAsia" w:ascii="方正小标宋简体" w:hAnsi="方正小标宋简体" w:eastAsia="方正小标宋简体" w:cs="方正小标宋简体"/>
          <w:kern w:val="0"/>
          <w:sz w:val="44"/>
          <w:szCs w:val="44"/>
          <w:highlight w:val="none"/>
          <w:lang w:eastAsia="zh-CN"/>
        </w:rPr>
        <w:t>基层人大补助</w:t>
      </w:r>
      <w:r>
        <w:rPr>
          <w:rFonts w:hint="eastAsia" w:ascii="方正小标宋简体" w:hAnsi="方正小标宋简体" w:eastAsia="方正小标宋简体" w:cs="方正小标宋简体"/>
          <w:kern w:val="0"/>
          <w:sz w:val="44"/>
          <w:szCs w:val="44"/>
          <w:highlight w:val="none"/>
        </w:rPr>
        <w:t>资金项目支出绩效</w:t>
      </w:r>
    </w:p>
    <w:p w14:paraId="657AD914">
      <w:pPr>
        <w:spacing w:line="540" w:lineRule="exact"/>
        <w:jc w:val="center"/>
        <w:rPr>
          <w:rFonts w:eastAsia="方正小标宋_GBK"/>
          <w:kern w:val="0"/>
          <w:sz w:val="48"/>
          <w:szCs w:val="48"/>
          <w:highlight w:val="none"/>
        </w:rPr>
      </w:pPr>
      <w:r>
        <w:rPr>
          <w:rFonts w:hint="eastAsia" w:ascii="方正小标宋简体" w:hAnsi="方正小标宋简体" w:eastAsia="方正小标宋简体" w:cs="方正小标宋简体"/>
          <w:kern w:val="0"/>
          <w:sz w:val="44"/>
          <w:szCs w:val="44"/>
          <w:highlight w:val="none"/>
        </w:rPr>
        <w:t>评价报告</w:t>
      </w:r>
    </w:p>
    <w:p w14:paraId="05F70C6E">
      <w:pPr>
        <w:spacing w:line="540" w:lineRule="exact"/>
        <w:jc w:val="center"/>
        <w:rPr>
          <w:rFonts w:eastAsia="华文中宋"/>
          <w:b/>
          <w:kern w:val="0"/>
          <w:sz w:val="52"/>
          <w:szCs w:val="52"/>
          <w:highlight w:val="none"/>
        </w:rPr>
      </w:pPr>
    </w:p>
    <w:p w14:paraId="6D864919">
      <w:pPr>
        <w:spacing w:line="540" w:lineRule="exact"/>
        <w:jc w:val="center"/>
        <w:rPr>
          <w:rFonts w:eastAsia="仿宋_GB2312"/>
          <w:kern w:val="0"/>
          <w:sz w:val="36"/>
          <w:szCs w:val="36"/>
          <w:highlight w:val="none"/>
        </w:rPr>
      </w:pPr>
      <w:r>
        <w:rPr>
          <w:rFonts w:eastAsia="仿宋_GB2312"/>
          <w:kern w:val="0"/>
          <w:sz w:val="36"/>
          <w:szCs w:val="36"/>
          <w:highlight w:val="none"/>
        </w:rPr>
        <w:t>（202</w:t>
      </w:r>
      <w:r>
        <w:rPr>
          <w:rFonts w:hint="eastAsia" w:eastAsia="仿宋_GB2312"/>
          <w:kern w:val="0"/>
          <w:sz w:val="36"/>
          <w:szCs w:val="36"/>
          <w:highlight w:val="none"/>
          <w:lang w:val="en-US" w:eastAsia="zh-CN"/>
        </w:rPr>
        <w:t>4</w:t>
      </w:r>
      <w:r>
        <w:rPr>
          <w:rFonts w:eastAsia="仿宋_GB2312"/>
          <w:kern w:val="0"/>
          <w:sz w:val="36"/>
          <w:szCs w:val="36"/>
          <w:highlight w:val="none"/>
        </w:rPr>
        <w:t>年度）</w:t>
      </w:r>
    </w:p>
    <w:p w14:paraId="08C2E49F">
      <w:pPr>
        <w:spacing w:line="540" w:lineRule="exact"/>
        <w:jc w:val="center"/>
        <w:rPr>
          <w:rFonts w:eastAsia="仿宋_GB2312"/>
          <w:kern w:val="0"/>
          <w:sz w:val="30"/>
          <w:szCs w:val="30"/>
          <w:highlight w:val="none"/>
        </w:rPr>
      </w:pPr>
    </w:p>
    <w:p w14:paraId="684B968B">
      <w:pPr>
        <w:spacing w:line="540" w:lineRule="exact"/>
        <w:jc w:val="both"/>
        <w:rPr>
          <w:rFonts w:eastAsia="仿宋_GB2312"/>
          <w:kern w:val="0"/>
          <w:sz w:val="30"/>
          <w:szCs w:val="30"/>
          <w:highlight w:val="none"/>
        </w:rPr>
      </w:pPr>
    </w:p>
    <w:p w14:paraId="5F4B20E9">
      <w:pPr>
        <w:pStyle w:val="11"/>
        <w:rPr>
          <w:highlight w:val="none"/>
        </w:rPr>
      </w:pPr>
    </w:p>
    <w:p w14:paraId="08DB8304">
      <w:pPr>
        <w:spacing w:line="540" w:lineRule="exact"/>
        <w:jc w:val="center"/>
        <w:rPr>
          <w:rFonts w:eastAsia="仿宋_GB2312"/>
          <w:kern w:val="0"/>
          <w:sz w:val="30"/>
          <w:szCs w:val="30"/>
          <w:highlight w:val="none"/>
        </w:rPr>
      </w:pPr>
    </w:p>
    <w:p w14:paraId="68D317AA">
      <w:pPr>
        <w:spacing w:line="540" w:lineRule="exact"/>
        <w:rPr>
          <w:rFonts w:eastAsia="仿宋_GB2312"/>
          <w:kern w:val="0"/>
          <w:sz w:val="30"/>
          <w:szCs w:val="30"/>
          <w:highlight w:val="none"/>
        </w:rPr>
      </w:pPr>
    </w:p>
    <w:p w14:paraId="3334BE98">
      <w:pPr>
        <w:spacing w:line="700" w:lineRule="exact"/>
        <w:jc w:val="left"/>
        <w:rPr>
          <w:rFonts w:eastAsia="仿宋_GB2312"/>
          <w:kern w:val="0"/>
          <w:sz w:val="32"/>
          <w:szCs w:val="32"/>
          <w:highlight w:val="none"/>
        </w:rPr>
      </w:pPr>
      <w:r>
        <w:rPr>
          <w:rFonts w:eastAsia="仿宋_GB2312"/>
          <w:kern w:val="0"/>
          <w:sz w:val="32"/>
          <w:szCs w:val="32"/>
          <w:highlight w:val="none"/>
        </w:rPr>
        <w:t>项目名称：</w:t>
      </w:r>
      <w:r>
        <w:rPr>
          <w:rFonts w:hint="eastAsia" w:eastAsia="仿宋_GB2312"/>
          <w:kern w:val="0"/>
          <w:sz w:val="32"/>
          <w:szCs w:val="32"/>
          <w:highlight w:val="none"/>
          <w:lang w:val="en-US" w:eastAsia="zh-CN"/>
        </w:rPr>
        <w:t>2024年度</w:t>
      </w:r>
      <w:r>
        <w:rPr>
          <w:rFonts w:hint="eastAsia" w:hAnsi="宋体" w:cs="宋体"/>
          <w:kern w:val="0"/>
          <w:sz w:val="32"/>
          <w:szCs w:val="32"/>
          <w:highlight w:val="none"/>
          <w:lang w:eastAsia="zh-CN"/>
        </w:rPr>
        <w:t>基层人大补助经费</w:t>
      </w:r>
    </w:p>
    <w:p w14:paraId="3E8C3667">
      <w:pPr>
        <w:spacing w:line="700" w:lineRule="exact"/>
        <w:jc w:val="left"/>
        <w:rPr>
          <w:rFonts w:eastAsia="仿宋_GB2312"/>
          <w:spacing w:val="-20"/>
          <w:kern w:val="0"/>
          <w:sz w:val="32"/>
          <w:szCs w:val="32"/>
          <w:highlight w:val="none"/>
        </w:rPr>
      </w:pPr>
      <w:r>
        <w:rPr>
          <w:rFonts w:eastAsia="仿宋_GB2312"/>
          <w:kern w:val="0"/>
          <w:sz w:val="32"/>
          <w:szCs w:val="32"/>
          <w:highlight w:val="none"/>
        </w:rPr>
        <w:t>实施单位（公章）：</w:t>
      </w:r>
      <w:r>
        <w:rPr>
          <w:rFonts w:hint="eastAsia" w:hAnsi="宋体" w:cs="宋体"/>
          <w:spacing w:val="-20"/>
          <w:kern w:val="0"/>
          <w:sz w:val="32"/>
          <w:szCs w:val="32"/>
          <w:highlight w:val="none"/>
          <w:lang w:eastAsia="zh-CN"/>
        </w:rPr>
        <w:t>特克斯县人民代表大会常务委员会办公室</w:t>
      </w:r>
    </w:p>
    <w:p w14:paraId="2B3FF397">
      <w:pPr>
        <w:spacing w:line="700" w:lineRule="exact"/>
        <w:jc w:val="left"/>
        <w:rPr>
          <w:rFonts w:eastAsia="仿宋_GB2312"/>
          <w:spacing w:val="-20"/>
          <w:kern w:val="0"/>
          <w:sz w:val="32"/>
          <w:szCs w:val="32"/>
          <w:highlight w:val="none"/>
        </w:rPr>
      </w:pPr>
      <w:r>
        <w:rPr>
          <w:rFonts w:eastAsia="仿宋_GB2312"/>
          <w:kern w:val="0"/>
          <w:sz w:val="32"/>
          <w:szCs w:val="32"/>
          <w:highlight w:val="none"/>
        </w:rPr>
        <w:t>主管部门（公章）：</w:t>
      </w:r>
      <w:r>
        <w:rPr>
          <w:rFonts w:hint="eastAsia" w:hAnsi="宋体" w:cs="宋体"/>
          <w:spacing w:val="-20"/>
          <w:kern w:val="0"/>
          <w:sz w:val="32"/>
          <w:szCs w:val="32"/>
          <w:highlight w:val="none"/>
          <w:lang w:eastAsia="zh-CN"/>
        </w:rPr>
        <w:t>特克斯县人民代表大会常务委员会办公室</w:t>
      </w:r>
    </w:p>
    <w:p w14:paraId="2B0509EB">
      <w:pPr>
        <w:spacing w:line="700" w:lineRule="exact"/>
        <w:jc w:val="left"/>
        <w:rPr>
          <w:rFonts w:hint="eastAsia" w:eastAsia="仿宋_GB2312"/>
          <w:kern w:val="0"/>
          <w:sz w:val="32"/>
          <w:szCs w:val="32"/>
          <w:highlight w:val="none"/>
          <w:lang w:val="en-US" w:eastAsia="zh-CN"/>
        </w:rPr>
      </w:pPr>
      <w:r>
        <w:rPr>
          <w:rFonts w:eastAsia="仿宋_GB2312"/>
          <w:kern w:val="0"/>
          <w:sz w:val="32"/>
          <w:szCs w:val="32"/>
          <w:highlight w:val="none"/>
        </w:rPr>
        <w:t>项目负责人（签章）：</w:t>
      </w:r>
      <w:r>
        <w:rPr>
          <w:rFonts w:hint="eastAsia" w:eastAsia="仿宋_GB2312"/>
          <w:kern w:val="0"/>
          <w:sz w:val="32"/>
          <w:szCs w:val="32"/>
          <w:highlight w:val="none"/>
          <w:lang w:val="en-US" w:eastAsia="zh-CN"/>
        </w:rPr>
        <w:t>李建民</w:t>
      </w:r>
    </w:p>
    <w:p w14:paraId="57C25439">
      <w:pPr>
        <w:spacing w:line="700" w:lineRule="exact"/>
        <w:jc w:val="left"/>
        <w:rPr>
          <w:rFonts w:eastAsia="仿宋_GB2312"/>
          <w:kern w:val="0"/>
          <w:sz w:val="36"/>
          <w:szCs w:val="36"/>
          <w:highlight w:val="none"/>
        </w:rPr>
      </w:pPr>
      <w:r>
        <w:rPr>
          <w:rFonts w:eastAsia="仿宋_GB2312"/>
          <w:kern w:val="0"/>
          <w:sz w:val="32"/>
          <w:szCs w:val="32"/>
          <w:highlight w:val="none"/>
        </w:rPr>
        <w:t>填报时间：</w:t>
      </w:r>
      <w:r>
        <w:rPr>
          <w:rFonts w:hint="eastAsia" w:eastAsia="仿宋_GB2312"/>
          <w:kern w:val="0"/>
          <w:sz w:val="32"/>
          <w:szCs w:val="32"/>
          <w:highlight w:val="none"/>
          <w:lang w:val="en-US" w:eastAsia="zh-CN"/>
        </w:rPr>
        <w:t>2025</w:t>
      </w:r>
      <w:r>
        <w:rPr>
          <w:rFonts w:eastAsia="仿宋_GB2312"/>
          <w:kern w:val="0"/>
          <w:sz w:val="32"/>
          <w:szCs w:val="32"/>
          <w:highlight w:val="none"/>
        </w:rPr>
        <w:t>年</w:t>
      </w:r>
      <w:r>
        <w:rPr>
          <w:rFonts w:hint="eastAsia" w:eastAsia="仿宋_GB2312"/>
          <w:kern w:val="0"/>
          <w:sz w:val="32"/>
          <w:szCs w:val="32"/>
          <w:highlight w:val="none"/>
          <w:lang w:val="en-US" w:eastAsia="zh-CN"/>
        </w:rPr>
        <w:t>5</w:t>
      </w:r>
      <w:r>
        <w:rPr>
          <w:rFonts w:eastAsia="仿宋_GB2312"/>
          <w:kern w:val="0"/>
          <w:sz w:val="32"/>
          <w:szCs w:val="32"/>
          <w:highlight w:val="none"/>
        </w:rPr>
        <w:t>月</w:t>
      </w:r>
      <w:r>
        <w:rPr>
          <w:rFonts w:hint="eastAsia" w:eastAsia="仿宋_GB2312"/>
          <w:kern w:val="0"/>
          <w:sz w:val="32"/>
          <w:szCs w:val="32"/>
          <w:highlight w:val="none"/>
          <w:lang w:val="en-US" w:eastAsia="zh-CN"/>
        </w:rPr>
        <w:t>15</w:t>
      </w:r>
      <w:r>
        <w:rPr>
          <w:rFonts w:eastAsia="仿宋_GB2312"/>
          <w:kern w:val="0"/>
          <w:sz w:val="36"/>
          <w:szCs w:val="36"/>
          <w:highlight w:val="none"/>
        </w:rPr>
        <w:t>日</w:t>
      </w:r>
    </w:p>
    <w:p w14:paraId="318EE45B">
      <w:pPr>
        <w:spacing w:line="540" w:lineRule="exact"/>
        <w:rPr>
          <w:rStyle w:val="17"/>
          <w:rFonts w:eastAsia="黑体"/>
          <w:b w:val="0"/>
          <w:spacing w:val="-4"/>
          <w:sz w:val="32"/>
          <w:szCs w:val="32"/>
          <w:highlight w:val="none"/>
        </w:rPr>
      </w:pPr>
    </w:p>
    <w:p w14:paraId="442730EF">
      <w:pPr>
        <w:spacing w:line="540" w:lineRule="exact"/>
        <w:rPr>
          <w:rStyle w:val="17"/>
          <w:rFonts w:eastAsia="黑体"/>
          <w:b w:val="0"/>
          <w:spacing w:val="-4"/>
          <w:sz w:val="32"/>
          <w:szCs w:val="32"/>
          <w:highlight w:val="none"/>
        </w:rPr>
      </w:pPr>
    </w:p>
    <w:p w14:paraId="4B56A792">
      <w:pPr>
        <w:spacing w:line="560" w:lineRule="exact"/>
        <w:ind w:firstLine="640" w:firstLineChars="200"/>
        <w:rPr>
          <w:rFonts w:eastAsia="黑体"/>
          <w:bCs/>
          <w:sz w:val="32"/>
          <w:szCs w:val="32"/>
          <w:highlight w:val="none"/>
        </w:rPr>
        <w:sectPr>
          <w:footerReference r:id="rId3" w:type="default"/>
          <w:pgSz w:w="11906" w:h="16838"/>
          <w:pgMar w:top="2098" w:right="1531" w:bottom="1984" w:left="1531" w:header="851" w:footer="992" w:gutter="0"/>
          <w:cols w:space="425" w:num="1"/>
          <w:docGrid w:type="lines" w:linePitch="312" w:charSpace="0"/>
        </w:sectPr>
      </w:pPr>
    </w:p>
    <w:p w14:paraId="68851469">
      <w:pPr>
        <w:spacing w:line="560" w:lineRule="exact"/>
        <w:ind w:firstLine="640" w:firstLineChars="200"/>
        <w:rPr>
          <w:rFonts w:eastAsia="黑体"/>
          <w:bCs/>
          <w:sz w:val="32"/>
          <w:szCs w:val="32"/>
          <w:highlight w:val="none"/>
        </w:rPr>
      </w:pPr>
      <w:r>
        <w:rPr>
          <w:rFonts w:eastAsia="黑体"/>
          <w:bCs/>
          <w:sz w:val="32"/>
          <w:szCs w:val="32"/>
          <w:highlight w:val="none"/>
        </w:rPr>
        <w:t>一、基本情况</w:t>
      </w:r>
    </w:p>
    <w:p w14:paraId="405C4237">
      <w:pPr>
        <w:spacing w:line="560" w:lineRule="exact"/>
        <w:ind w:firstLine="643" w:firstLineChars="200"/>
        <w:rPr>
          <w:rFonts w:eastAsia="楷体_GB2312"/>
          <w:b/>
          <w:bCs/>
          <w:sz w:val="32"/>
          <w:szCs w:val="32"/>
          <w:highlight w:val="none"/>
        </w:rPr>
      </w:pPr>
      <w:r>
        <w:rPr>
          <w:rFonts w:eastAsia="楷体_GB2312"/>
          <w:b/>
          <w:bCs/>
          <w:sz w:val="32"/>
          <w:szCs w:val="32"/>
          <w:highlight w:val="none"/>
        </w:rPr>
        <w:t>（一）项目概况</w:t>
      </w:r>
    </w:p>
    <w:p w14:paraId="07934384">
      <w:pPr>
        <w:spacing w:line="560" w:lineRule="exact"/>
        <w:ind w:firstLine="643" w:firstLineChars="200"/>
        <w:rPr>
          <w:rFonts w:eastAsia="仿宋_GB2312"/>
          <w:b/>
          <w:bCs/>
          <w:sz w:val="32"/>
          <w:szCs w:val="32"/>
          <w:highlight w:val="none"/>
        </w:rPr>
      </w:pPr>
      <w:r>
        <w:rPr>
          <w:rFonts w:eastAsia="仿宋_GB2312"/>
          <w:b/>
          <w:bCs/>
          <w:sz w:val="32"/>
          <w:szCs w:val="32"/>
          <w:highlight w:val="none"/>
        </w:rPr>
        <w:t>1、项目背景</w:t>
      </w:r>
    </w:p>
    <w:p w14:paraId="6334F14B">
      <w:p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乡镇人大是我国最基层的国家权力机关，距离广大人民群众最近、直接反映民意，始终处于民主法治建设的最前沿，其作用重要且具有不可代替性。</w:t>
      </w:r>
      <w:r>
        <w:rPr>
          <w:rFonts w:hint="eastAsia" w:ascii="Times New Roman" w:hAnsi="Times New Roman" w:eastAsia="仿宋_GB2312" w:cs="Times New Roman"/>
          <w:sz w:val="32"/>
          <w:szCs w:val="32"/>
          <w:highlight w:val="none"/>
          <w:lang w:val="en-US" w:eastAsia="zh-CN"/>
        </w:rPr>
        <w:t>自治区基层人大补助经费用于保障县乡两级人大代表开展视察调研、执法检查、履职培训、组织人大代表开展三查（察）活动、保障基层人大办公经费。</w:t>
      </w:r>
    </w:p>
    <w:p w14:paraId="5FF6972C">
      <w:pPr>
        <w:pStyle w:val="11"/>
        <w:numPr>
          <w:ilvl w:val="0"/>
          <w:numId w:val="1"/>
        </w:numPr>
        <w:spacing w:before="0" w:after="0" w:line="560" w:lineRule="exact"/>
        <w:ind w:firstLine="643" w:firstLineChars="200"/>
        <w:jc w:val="both"/>
        <w:rPr>
          <w:rFonts w:ascii="Times New Roman" w:hAnsi="Times New Roman" w:eastAsia="仿宋_GB2312"/>
          <w:kern w:val="2"/>
          <w:highlight w:val="none"/>
        </w:rPr>
      </w:pPr>
      <w:r>
        <w:rPr>
          <w:rFonts w:ascii="Times New Roman" w:hAnsi="Times New Roman" w:eastAsia="仿宋_GB2312"/>
          <w:kern w:val="2"/>
          <w:highlight w:val="none"/>
        </w:rPr>
        <w:t>项目主要内容：</w:t>
      </w:r>
    </w:p>
    <w:p w14:paraId="3F988BA7">
      <w:pPr>
        <w:spacing w:line="560" w:lineRule="exact"/>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项目主要内容：</w:t>
      </w:r>
      <w:r>
        <w:rPr>
          <w:rFonts w:hint="eastAsia" w:ascii="Times New Roman" w:hAnsi="Times New Roman" w:eastAsia="仿宋_GB2312" w:cs="Times New Roman"/>
          <w:sz w:val="32"/>
          <w:szCs w:val="32"/>
          <w:highlight w:val="none"/>
          <w:lang w:val="en-US" w:eastAsia="zh-CN"/>
        </w:rPr>
        <w:t>围绕全县人大代表视察调研、执法检查、改善基层人大办公条件，保障办公经费和人民群众关心的问题开展专题考察、调研，认真履行人大办公室和四个工委工作，通过组织开展人大代表活动，不断提高人大代表水平。</w:t>
      </w:r>
    </w:p>
    <w:p w14:paraId="0A3D7E74">
      <w:pPr>
        <w:spacing w:line="560" w:lineRule="exact"/>
        <w:ind w:firstLine="640" w:firstLineChars="200"/>
        <w:rPr>
          <w:highlight w:val="none"/>
        </w:rPr>
      </w:pPr>
      <w:r>
        <w:rPr>
          <w:rFonts w:eastAsia="仿宋_GB2312"/>
          <w:sz w:val="32"/>
          <w:szCs w:val="32"/>
          <w:highlight w:val="none"/>
        </w:rPr>
        <w:t>项目实施情况：项目目前已经完成实际设立的目标，项目在实施过程中严格按照目标设立的各阶段任务进行开展工作，在前期立项过程中严格把质量关，建立安全防护机制，</w:t>
      </w:r>
      <w:r>
        <w:rPr>
          <w:rFonts w:hint="eastAsia" w:eastAsia="仿宋_GB2312"/>
          <w:sz w:val="32"/>
          <w:szCs w:val="32"/>
          <w:highlight w:val="none"/>
          <w:lang w:val="en-US" w:eastAsia="zh-CN"/>
        </w:rPr>
        <w:t>2024年底该</w:t>
      </w:r>
      <w:r>
        <w:rPr>
          <w:rFonts w:eastAsia="仿宋_GB2312"/>
          <w:sz w:val="32"/>
          <w:szCs w:val="32"/>
          <w:highlight w:val="none"/>
        </w:rPr>
        <w:t>项目实施各阶段</w:t>
      </w:r>
      <w:r>
        <w:rPr>
          <w:rFonts w:hint="eastAsia" w:eastAsia="仿宋_GB2312"/>
          <w:sz w:val="32"/>
          <w:szCs w:val="32"/>
          <w:highlight w:val="none"/>
          <w:lang w:val="en-US" w:eastAsia="zh-CN"/>
        </w:rPr>
        <w:t>顺利完成</w:t>
      </w:r>
      <w:r>
        <w:rPr>
          <w:rFonts w:eastAsia="仿宋_GB2312"/>
          <w:sz w:val="32"/>
          <w:szCs w:val="32"/>
          <w:highlight w:val="none"/>
        </w:rPr>
        <w:t>。</w:t>
      </w:r>
    </w:p>
    <w:p w14:paraId="76DB0321">
      <w:pPr>
        <w:spacing w:line="560" w:lineRule="exact"/>
        <w:ind w:firstLine="643" w:firstLineChars="200"/>
        <w:rPr>
          <w:rFonts w:eastAsia="仿宋_GB2312"/>
          <w:b/>
          <w:bCs/>
          <w:sz w:val="32"/>
          <w:szCs w:val="32"/>
          <w:highlight w:val="none"/>
        </w:rPr>
      </w:pPr>
      <w:r>
        <w:rPr>
          <w:rFonts w:eastAsia="仿宋_GB2312"/>
          <w:b/>
          <w:bCs/>
          <w:sz w:val="32"/>
          <w:szCs w:val="32"/>
          <w:highlight w:val="none"/>
        </w:rPr>
        <w:t>3、资金投入和使用情况</w:t>
      </w:r>
    </w:p>
    <w:p w14:paraId="705B2656">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（1）资金投入情况</w:t>
      </w:r>
    </w:p>
    <w:p w14:paraId="0F634679">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该项目年初预算数</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万元，全年预算数</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万元，实际总投入</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万元，该项目资金已全部落实到位，资金来源为</w:t>
      </w:r>
      <w:r>
        <w:rPr>
          <w:rFonts w:hint="eastAsia" w:ascii="仿宋_GB2312" w:hAnsi="仿宋_GB2312" w:eastAsia="仿宋_GB2312" w:cs="仿宋_GB2312"/>
          <w:sz w:val="32"/>
          <w:szCs w:val="32"/>
          <w:highlight w:val="none"/>
          <w:lang w:val="en-US" w:eastAsia="zh-CN"/>
        </w:rPr>
        <w:t>财政拨款</w:t>
      </w:r>
      <w:r>
        <w:rPr>
          <w:rFonts w:hint="eastAsia" w:ascii="仿宋_GB2312" w:hAnsi="仿宋_GB2312" w:eastAsia="仿宋_GB2312" w:cs="仿宋_GB2312"/>
          <w:sz w:val="32"/>
          <w:szCs w:val="32"/>
          <w:highlight w:val="none"/>
        </w:rPr>
        <w:t>。</w:t>
      </w:r>
    </w:p>
    <w:p w14:paraId="78ABDD0F">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（2）资金使用情况</w:t>
      </w:r>
    </w:p>
    <w:p w14:paraId="4651A24B">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该项目年初预算数</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万元，全年预算数</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万元，全年执行数</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万元，预算执行率为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%，主要用于：基层人大补助资金</w:t>
      </w:r>
      <w:r>
        <w:rPr>
          <w:rFonts w:hint="eastAsia" w:ascii="仿宋_GB2312" w:hAnsi="仿宋_GB2312" w:eastAsia="仿宋_GB2312" w:cs="仿宋_GB2312"/>
          <w:sz w:val="32"/>
          <w:szCs w:val="32"/>
          <w:highlight w:val="none"/>
          <w:lang w:val="en-US" w:eastAsia="zh-CN"/>
        </w:rPr>
        <w:t>8万元</w:t>
      </w:r>
      <w:r>
        <w:rPr>
          <w:rFonts w:hint="eastAsia" w:ascii="仿宋_GB2312" w:hAnsi="仿宋_GB2312" w:eastAsia="仿宋_GB2312" w:cs="仿宋_GB2312"/>
          <w:sz w:val="32"/>
          <w:szCs w:val="32"/>
          <w:highlight w:val="none"/>
        </w:rPr>
        <w:t>。</w:t>
      </w:r>
    </w:p>
    <w:p w14:paraId="768DE295">
      <w:pPr>
        <w:spacing w:line="560" w:lineRule="exact"/>
        <w:ind w:firstLine="643" w:firstLineChars="200"/>
        <w:rPr>
          <w:rFonts w:eastAsia="楷体_GB2312"/>
          <w:b/>
          <w:bCs/>
          <w:sz w:val="32"/>
          <w:szCs w:val="32"/>
          <w:highlight w:val="none"/>
        </w:rPr>
      </w:pPr>
      <w:r>
        <w:rPr>
          <w:rFonts w:eastAsia="楷体_GB2312"/>
          <w:b/>
          <w:bCs/>
          <w:sz w:val="32"/>
          <w:szCs w:val="32"/>
          <w:highlight w:val="none"/>
        </w:rPr>
        <w:t>（二）项目绩效目标</w:t>
      </w:r>
    </w:p>
    <w:p w14:paraId="2E9CBDBD">
      <w:pPr>
        <w:spacing w:line="560" w:lineRule="exact"/>
        <w:ind w:firstLine="640" w:firstLineChars="200"/>
        <w:rPr>
          <w:rFonts w:hint="eastAsia" w:ascii="仿宋_GB2312" w:hAnsi="仿宋_GB2312" w:eastAsia="仿宋_GB2312" w:cs="仿宋_GB2312"/>
          <w:color w:val="FF0000"/>
          <w:sz w:val="30"/>
          <w:szCs w:val="30"/>
          <w:highlight w:val="none"/>
        </w:rPr>
      </w:pPr>
      <w:r>
        <w:rPr>
          <w:rFonts w:eastAsia="仿宋_GB2312"/>
          <w:sz w:val="32"/>
          <w:szCs w:val="32"/>
          <w:highlight w:val="none"/>
        </w:rPr>
        <w:t>1、总体目标</w:t>
      </w:r>
    </w:p>
    <w:p w14:paraId="11540998">
      <w:pP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主要围绕上级文件要求及县人大2024年度工作重点，根据基层人大工作需要拨付8个乡镇场人大工作经费，保障人大常委会组织开展“三查（察）”和“双联系”活动等不少于4次，给与乡（镇）、街道人大开展工作给与重点支持保障，从而达到基层人大办公条件不断改善，人大代表履职能力和自身水平进一步提升，确保人大工作高质量发展。</w:t>
      </w:r>
    </w:p>
    <w:p w14:paraId="5AFD4486">
      <w:pPr>
        <w:spacing w:line="560" w:lineRule="exact"/>
        <w:ind w:firstLine="640" w:firstLineChars="200"/>
        <w:rPr>
          <w:rFonts w:ascii="仿宋_GB2312" w:hAnsi="仿宋_GB2312" w:eastAsia="仿宋_GB2312" w:cs="仿宋_GB2312"/>
          <w:color w:val="FF0000"/>
          <w:sz w:val="30"/>
          <w:szCs w:val="30"/>
          <w:highlight w:val="none"/>
        </w:rPr>
      </w:pPr>
      <w:r>
        <w:rPr>
          <w:rFonts w:eastAsia="仿宋_GB2312"/>
          <w:sz w:val="32"/>
          <w:szCs w:val="32"/>
          <w:highlight w:val="none"/>
        </w:rPr>
        <w:t>2、阶段性目标</w:t>
      </w:r>
    </w:p>
    <w:p w14:paraId="7308EB78">
      <w:pP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（1）前期准备：按照上级拨付经费文件要求，制定基层人大补助资金实施方案，确定工作指标以及预期目标值，按绩效评价三级指标按阶段完成相关工作，经项目负责人审核通过后，有序开展后续工作。</w:t>
      </w:r>
    </w:p>
    <w:p w14:paraId="2F5A3683">
      <w:pP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组织实施：资金到位后，立即根据项目要求及实施方案内容来实施项目。项目责任人按照总体目标逐一进行项目部署安排，组织人大代表调研、视察，代表培训、提案督办等相关工作，提高项目质量及效率性。</w:t>
      </w:r>
    </w:p>
    <w:p w14:paraId="08C40CB9">
      <w:pPr>
        <w:spacing w:line="600" w:lineRule="exact"/>
        <w:ind w:firstLine="640" w:firstLineChars="200"/>
        <w:outlineLvl w:val="0"/>
        <w:rPr>
          <w:rFonts w:eastAsia="黑体"/>
          <w:sz w:val="32"/>
          <w:szCs w:val="32"/>
          <w:highlight w:val="none"/>
        </w:rPr>
      </w:pPr>
      <w:r>
        <w:rPr>
          <w:rFonts w:eastAsia="黑体"/>
          <w:sz w:val="32"/>
          <w:szCs w:val="32"/>
          <w:highlight w:val="none"/>
        </w:rPr>
        <w:t>二、绩效评价工作开展情况</w:t>
      </w:r>
    </w:p>
    <w:p w14:paraId="21B2E11E">
      <w:pPr>
        <w:spacing w:line="560" w:lineRule="exact"/>
        <w:ind w:firstLine="643" w:firstLineChars="200"/>
        <w:rPr>
          <w:rFonts w:eastAsia="楷体_GB2312"/>
          <w:b/>
          <w:bCs/>
          <w:sz w:val="32"/>
          <w:szCs w:val="32"/>
          <w:highlight w:val="none"/>
        </w:rPr>
      </w:pPr>
      <w:r>
        <w:rPr>
          <w:rFonts w:eastAsia="楷体_GB2312"/>
          <w:b/>
          <w:bCs/>
          <w:sz w:val="32"/>
          <w:szCs w:val="32"/>
          <w:highlight w:val="none"/>
        </w:rPr>
        <w:t>（一）绩效评价目的、对象和范围</w:t>
      </w:r>
    </w:p>
    <w:p w14:paraId="15EFA8E0">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123ECA45">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1460BF94">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14:paraId="77A9EB53">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5D7C8CDC">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23339B61">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22A76367">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14:paraId="792401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4B1867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通过对项目预算执行情况及各项绩效目标达成程度的系统性分析，全面、客观地评估项目在预定周期内的实施效果，包括社会效益以及可持续性等多维度指标，为项目后续的改进与优化提供科学依据。</w:t>
      </w:r>
    </w:p>
    <w:p w14:paraId="0A8C17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799F086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754B2A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045E196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04A095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39FBBD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22343B7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439509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36973B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13241FBF">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14:paraId="0ACD736A">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本项目预算绩效评价报告的评价对象是伊州财行【2023】42号 2024年度自治区基层人大补助经费及其预算执行情况。该项目由</w:t>
      </w:r>
      <w:r>
        <w:rPr>
          <w:rFonts w:hint="eastAsia" w:ascii="Times New Roman" w:hAnsi="Times New Roman" w:eastAsia="仿宋_GB2312" w:cs="Times New Roman"/>
          <w:b w:val="0"/>
          <w:bCs w:val="0"/>
          <w:color w:val="auto"/>
          <w:highlight w:val="none"/>
          <w:lang w:eastAsia="zh-CN"/>
        </w:rPr>
        <w:t>特克斯县人民代表大会常务委员会</w:t>
      </w:r>
      <w:r>
        <w:rPr>
          <w:rFonts w:hint="default" w:ascii="Times New Roman" w:hAnsi="Times New Roman" w:eastAsia="仿宋_GB2312" w:cs="Times New Roman"/>
          <w:b w:val="0"/>
          <w:bCs w:val="0"/>
          <w:color w:val="auto"/>
          <w:highlight w:val="none"/>
        </w:rPr>
        <w:t>办公室负责实施，旨在根据提高各基层人大代表履职能力</w:t>
      </w:r>
      <w:r>
        <w:rPr>
          <w:rFonts w:hint="eastAsia" w:ascii="Times New Roman" w:hAnsi="Times New Roman" w:eastAsia="仿宋_GB2312" w:cs="Times New Roman"/>
          <w:b w:val="0"/>
          <w:bCs w:val="0"/>
          <w:color w:val="auto"/>
          <w:highlight w:val="none"/>
          <w:lang w:eastAsia="zh-CN"/>
        </w:rPr>
        <w:t>，改善各基层人大工作环境</w:t>
      </w:r>
      <w:r>
        <w:rPr>
          <w:rFonts w:hint="default" w:ascii="Times New Roman" w:hAnsi="Times New Roman" w:eastAsia="仿宋_GB2312" w:cs="Times New Roman"/>
          <w:b w:val="0"/>
          <w:bCs w:val="0"/>
          <w:color w:val="auto"/>
          <w:highlight w:val="none"/>
        </w:rPr>
        <w:t>。项目预算涵盖从</w:t>
      </w:r>
      <w:r>
        <w:rPr>
          <w:rFonts w:hint="eastAsia" w:ascii="Times New Roman" w:hAnsi="Times New Roman" w:eastAsia="仿宋_GB2312" w:cs="Times New Roman"/>
          <w:b w:val="0"/>
          <w:bCs w:val="0"/>
          <w:color w:val="auto"/>
          <w:highlight w:val="none"/>
          <w:lang w:val="en-US" w:eastAsia="zh-CN"/>
        </w:rPr>
        <w:t>2024年1月1日</w:t>
      </w:r>
      <w:r>
        <w:rPr>
          <w:rFonts w:hint="default" w:ascii="Times New Roman" w:hAnsi="Times New Roman" w:eastAsia="仿宋_GB2312" w:cs="Times New Roman"/>
          <w:b w:val="0"/>
          <w:bCs w:val="0"/>
          <w:color w:val="auto"/>
          <w:highlight w:val="none"/>
        </w:rPr>
        <w:t>至</w:t>
      </w:r>
      <w:r>
        <w:rPr>
          <w:rFonts w:hint="eastAsia" w:ascii="Times New Roman" w:hAnsi="Times New Roman" w:eastAsia="仿宋_GB2312" w:cs="Times New Roman"/>
          <w:b w:val="0"/>
          <w:bCs w:val="0"/>
          <w:color w:val="auto"/>
          <w:highlight w:val="none"/>
          <w:lang w:val="en-US" w:eastAsia="zh-CN"/>
        </w:rPr>
        <w:t>2024年12月31日</w:t>
      </w:r>
      <w:r>
        <w:rPr>
          <w:rFonts w:hint="default" w:ascii="Times New Roman" w:hAnsi="Times New Roman" w:eastAsia="仿宋_GB2312" w:cs="Times New Roman"/>
          <w:b w:val="0"/>
          <w:bCs w:val="0"/>
          <w:color w:val="auto"/>
          <w:highlight w:val="none"/>
        </w:rPr>
        <w:t>的全部资金投入与支出，涉及资金总额为</w:t>
      </w:r>
      <w:r>
        <w:rPr>
          <w:rFonts w:hint="eastAsia" w:ascii="Times New Roman" w:hAnsi="Times New Roman" w:eastAsia="仿宋_GB2312" w:cs="Times New Roman"/>
          <w:b w:val="0"/>
          <w:bCs w:val="0"/>
          <w:color w:val="auto"/>
          <w:highlight w:val="none"/>
          <w:lang w:val="en-US" w:eastAsia="zh-CN"/>
        </w:rPr>
        <w:t>8</w:t>
      </w:r>
      <w:r>
        <w:rPr>
          <w:rFonts w:hint="default" w:ascii="Times New Roman" w:hAnsi="Times New Roman" w:eastAsia="仿宋_GB2312" w:cs="Times New Roman"/>
          <w:b w:val="0"/>
          <w:bCs w:val="0"/>
          <w:color w:val="auto"/>
          <w:highlight w:val="none"/>
          <w:lang w:val="en-US" w:eastAsia="zh-CN"/>
        </w:rPr>
        <w:t>万</w:t>
      </w:r>
      <w:r>
        <w:rPr>
          <w:rFonts w:hint="default" w:ascii="Times New Roman" w:hAnsi="Times New Roman" w:eastAsia="仿宋_GB2312" w:cs="Times New Roman"/>
          <w:b w:val="0"/>
          <w:bCs w:val="0"/>
          <w:color w:val="auto"/>
          <w:highlight w:val="none"/>
        </w:rPr>
        <w:t>元。</w:t>
      </w:r>
    </w:p>
    <w:p w14:paraId="7A30B7CC">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14:paraId="034150C6">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3D017733">
      <w:pPr>
        <w:pStyle w:val="11"/>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53330C45">
      <w:pPr>
        <w:pStyle w:val="11"/>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5B31901E">
      <w:pPr>
        <w:pStyle w:val="11"/>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44D16EDE">
      <w:pPr>
        <w:pStyle w:val="11"/>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w:t>
      </w:r>
      <w:r>
        <w:rPr>
          <w:rFonts w:hint="eastAsia" w:ascii="Times New Roman" w:hAnsi="Times New Roman" w:eastAsia="仿宋_GB2312" w:cs="Times New Roman"/>
          <w:b w:val="0"/>
          <w:bCs w:val="0"/>
          <w:highlight w:val="none"/>
          <w:lang w:eastAsia="zh-CN"/>
        </w:rPr>
        <w:t>提高人大代表和人大干部的政治把握能力和履职能力。提高政府形象及公信力，更好的解决好老百姓关心的问题。</w:t>
      </w:r>
    </w:p>
    <w:p w14:paraId="7738029F">
      <w:pPr>
        <w:spacing w:line="560" w:lineRule="exact"/>
        <w:ind w:firstLine="643" w:firstLineChars="200"/>
        <w:rPr>
          <w:highlight w:val="none"/>
        </w:rPr>
      </w:pPr>
      <w:r>
        <w:rPr>
          <w:rFonts w:eastAsia="楷体_GB2312"/>
          <w:b/>
          <w:bCs/>
          <w:sz w:val="32"/>
          <w:szCs w:val="32"/>
          <w:highlight w:val="none"/>
        </w:rPr>
        <w:t>（二）绩效评价原则、评价指标体系（详情见表1）、评价方法、评价标准。</w:t>
      </w:r>
    </w:p>
    <w:p w14:paraId="12A888D7">
      <w:pPr>
        <w:pStyle w:val="11"/>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1、绩效评价原则</w:t>
      </w:r>
    </w:p>
    <w:p w14:paraId="4FE14EC8">
      <w:pPr>
        <w:spacing w:line="560" w:lineRule="exact"/>
        <w:ind w:firstLine="640" w:firstLineChars="200"/>
        <w:rPr>
          <w:rFonts w:eastAsia="仿宋_GB2312"/>
          <w:color w:val="000000"/>
          <w:sz w:val="32"/>
          <w:szCs w:val="32"/>
          <w:highlight w:val="none"/>
        </w:rPr>
      </w:pPr>
      <w:r>
        <w:rPr>
          <w:rFonts w:eastAsia="仿宋_GB2312"/>
          <w:color w:val="000000"/>
          <w:sz w:val="32"/>
          <w:szCs w:val="32"/>
          <w:highlight w:val="none"/>
        </w:rPr>
        <w:t>本次项目绩效评价遵循以下基本原则：</w:t>
      </w:r>
    </w:p>
    <w:p w14:paraId="17918D9C">
      <w:pPr>
        <w:pStyle w:val="11"/>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（1）科学公正。绩效评价应当运用科学合理的方法，按照规范的程序，对项目绩效进行客观、公正的反映。</w:t>
      </w:r>
    </w:p>
    <w:p w14:paraId="691323AA">
      <w:pPr>
        <w:pStyle w:val="11"/>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（2）统筹兼顾。单位自评、部门评价和财政评价应职责明确，各有侧重，相互衔接。单位自评应由项目单位自主实施，即“谁支出、谁自评”。部门评价和财政评价应在单位自评的基础上开展。</w:t>
      </w:r>
    </w:p>
    <w:p w14:paraId="21619DB5">
      <w:pPr>
        <w:pStyle w:val="11"/>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（3）激励约束。绩效评价结果应与预算安排、政策调整、改进管理实质性挂钩，体现奖优罚劣和激励相容导向，有效要安排、低效要压减、无效要问责。</w:t>
      </w:r>
    </w:p>
    <w:p w14:paraId="2F312F40">
      <w:pPr>
        <w:pStyle w:val="11"/>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（4）公开透明。绩效评价结果应依法依规公开，并自觉接受社会监督。</w:t>
      </w:r>
    </w:p>
    <w:p w14:paraId="33B1F7DA">
      <w:pPr>
        <w:pStyle w:val="11"/>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2、评价指标体系</w:t>
      </w:r>
    </w:p>
    <w:p w14:paraId="2B46FC6F">
      <w:pPr>
        <w:spacing w:line="560" w:lineRule="exact"/>
        <w:ind w:firstLine="708" w:firstLineChars="200"/>
        <w:rPr>
          <w:color w:val="000000"/>
          <w:spacing w:val="17"/>
          <w:sz w:val="32"/>
          <w:szCs w:val="32"/>
          <w:highlight w:val="none"/>
        </w:rPr>
      </w:pPr>
      <w:r>
        <w:rPr>
          <w:rFonts w:eastAsia="仿宋_GB2312"/>
          <w:color w:val="000000"/>
          <w:spacing w:val="17"/>
          <w:sz w:val="32"/>
          <w:szCs w:val="32"/>
          <w:highlight w:val="none"/>
        </w:rPr>
        <w:t>绩效评价框架是开展绩效评价的核心。绩效评价框架包括评价准则、关键评价问题、评价指标、数据来源、数据收集方法等。指标体系建立过程如下：</w:t>
      </w:r>
    </w:p>
    <w:p w14:paraId="548F8E46">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（1）确定评价指标</w:t>
      </w:r>
    </w:p>
    <w:p w14:paraId="0F14A191">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14:paraId="084DE047">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（2）确定权重</w:t>
      </w:r>
    </w:p>
    <w:p w14:paraId="1DB7B15A">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确定各个指标相对于项目总体绩效的权重分值。在绩效评价指标体系中，项目决策权重为20分，项目过程权重为20分，项目产出权重为40分，项目效益权重为20分。</w:t>
      </w:r>
    </w:p>
    <w:p w14:paraId="21A18E4B">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（3）确定指标标准值</w:t>
      </w:r>
    </w:p>
    <w:p w14:paraId="5B9C84A3">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指标标准值是绩效评价指标的尺度，既要反映同类项目的先进水平，又要符合项目的实际绩效水平。具体采用计划标准确定此次绩效评价指标标准值。</w:t>
      </w:r>
    </w:p>
    <w:p w14:paraId="14334105">
      <w:pPr>
        <w:pStyle w:val="11"/>
        <w:spacing w:before="0" w:after="0" w:line="560" w:lineRule="exact"/>
        <w:ind w:firstLine="708" w:firstLineChars="200"/>
        <w:jc w:val="both"/>
        <w:rPr>
          <w:rFonts w:ascii="Times New Roman" w:hAnsi="Times New Roman" w:eastAsia="仿宋_GB2312"/>
          <w:b w:val="0"/>
          <w:bCs w:val="0"/>
          <w:color w:val="000000"/>
          <w:spacing w:val="17"/>
          <w:kern w:val="2"/>
          <w:highlight w:val="none"/>
        </w:rPr>
      </w:pPr>
      <w:r>
        <w:rPr>
          <w:rFonts w:ascii="Times New Roman" w:hAnsi="Times New Roman" w:eastAsia="仿宋_GB2312"/>
          <w:b w:val="0"/>
          <w:bCs w:val="0"/>
          <w:color w:val="000000"/>
          <w:spacing w:val="17"/>
          <w:kern w:val="2"/>
          <w:highlight w:val="none"/>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543537C3">
      <w:pPr>
        <w:pStyle w:val="11"/>
        <w:widowControl w:val="0"/>
        <w:spacing w:before="0" w:after="0" w:line="560" w:lineRule="exact"/>
        <w:ind w:firstLine="708" w:firstLineChars="200"/>
        <w:jc w:val="both"/>
        <w:outlineLvl w:val="9"/>
        <w:rPr>
          <w:rFonts w:ascii="Times New Roman" w:hAnsi="Times New Roman" w:eastAsia="仿宋_GB2312"/>
          <w:b w:val="0"/>
          <w:bCs w:val="0"/>
          <w:color w:val="000000"/>
          <w:spacing w:val="17"/>
          <w:highlight w:val="none"/>
        </w:rPr>
      </w:pPr>
      <w:r>
        <w:rPr>
          <w:rFonts w:ascii="Times New Roman" w:hAnsi="Times New Roman" w:eastAsia="仿宋_GB2312"/>
          <w:b w:val="0"/>
          <w:bCs w:val="0"/>
          <w:color w:val="000000"/>
          <w:spacing w:val="17"/>
          <w:highlight w:val="none"/>
        </w:rPr>
        <w:t>具体评价指标体系详情见附件1</w:t>
      </w:r>
    </w:p>
    <w:p w14:paraId="253AF121">
      <w:pPr>
        <w:pStyle w:val="11"/>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3、绩效评价方法</w:t>
      </w:r>
    </w:p>
    <w:p w14:paraId="417D3934">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绩效评价从项目决策、项目过程、项目产出、项目效益四个维度进行评价。评价对象为项目目标实施情况，  评价核心为资金的支出完成情况和项目的产出效益。</w:t>
      </w:r>
    </w:p>
    <w:p w14:paraId="607AF010">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14:paraId="04D7EF73">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（1）比较法</w:t>
      </w:r>
    </w:p>
    <w:p w14:paraId="0E93E292">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通过对绩效目标与实施效果、历史与当期情况，综合分析绩效目标实现程度。对</w:t>
      </w:r>
      <w:r>
        <w:rPr>
          <w:rFonts w:eastAsia="仿宋_GB2312"/>
          <w:sz w:val="32"/>
          <w:szCs w:val="32"/>
          <w:highlight w:val="none"/>
        </w:rPr>
        <w:t>项目</w:t>
      </w:r>
      <w:r>
        <w:rPr>
          <w:rFonts w:eastAsia="仿宋_GB2312"/>
          <w:color w:val="000000"/>
          <w:spacing w:val="17"/>
          <w:sz w:val="32"/>
          <w:szCs w:val="32"/>
          <w:highlight w:val="none"/>
        </w:rPr>
        <w:t>最终验收情况与年度绩效目标对比、预算资金执行情况等相关因素进行比较。</w:t>
      </w:r>
    </w:p>
    <w:p w14:paraId="6481C56A">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（2）因素分析法</w:t>
      </w:r>
    </w:p>
    <w:p w14:paraId="12E61B93">
      <w:pPr>
        <w:spacing w:line="560" w:lineRule="exact"/>
        <w:ind w:firstLine="708" w:firstLineChars="200"/>
        <w:rPr>
          <w:rFonts w:eastAsia="仿宋_GB2312"/>
          <w:color w:val="000000"/>
          <w:spacing w:val="17"/>
          <w:sz w:val="32"/>
          <w:szCs w:val="32"/>
          <w:highlight w:val="none"/>
        </w:rPr>
      </w:pPr>
      <w:r>
        <w:rPr>
          <w:rFonts w:eastAsia="仿宋_GB2312"/>
          <w:color w:val="000000"/>
          <w:spacing w:val="17"/>
          <w:sz w:val="32"/>
          <w:szCs w:val="32"/>
          <w:highlight w:val="none"/>
        </w:rPr>
        <w:t>通过综合分析影响绩效目标实现、实施效果的内外因素，评价绩效目标实现程度。通过对</w:t>
      </w:r>
      <w:r>
        <w:rPr>
          <w:rFonts w:eastAsia="仿宋_GB2312"/>
          <w:sz w:val="32"/>
          <w:szCs w:val="32"/>
          <w:highlight w:val="none"/>
        </w:rPr>
        <w:t>项目</w:t>
      </w:r>
      <w:r>
        <w:rPr>
          <w:rFonts w:eastAsia="仿宋_GB2312"/>
          <w:color w:val="000000"/>
          <w:spacing w:val="17"/>
          <w:sz w:val="32"/>
          <w:szCs w:val="32"/>
          <w:highlight w:val="none"/>
        </w:rPr>
        <w:t>的开展情况、项目产出数量、成本控制、资金拨付文件及自评报告等相关资料的收集和审核，综合分析各因素对绩效目标实现的影响。</w:t>
      </w:r>
    </w:p>
    <w:p w14:paraId="13207051">
      <w:pPr>
        <w:pStyle w:val="11"/>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4、评价标准</w:t>
      </w:r>
    </w:p>
    <w:p w14:paraId="61442F28">
      <w:pPr>
        <w:spacing w:line="560" w:lineRule="exact"/>
        <w:ind w:firstLine="708" w:firstLineChars="200"/>
        <w:rPr>
          <w:rFonts w:eastAsia="仿宋_GB2312"/>
          <w:color w:val="000000"/>
          <w:spacing w:val="17"/>
          <w:sz w:val="32"/>
          <w:szCs w:val="32"/>
          <w:highlight w:val="none"/>
        </w:rPr>
      </w:pPr>
      <w:r>
        <w:rPr>
          <w:rFonts w:hint="eastAsia" w:eastAsia="仿宋_GB2312"/>
          <w:color w:val="000000"/>
          <w:spacing w:val="17"/>
          <w:sz w:val="32"/>
          <w:szCs w:val="32"/>
          <w:highlight w:val="none"/>
        </w:rPr>
        <w:t>绩效评价标准通常包括计划标准、行业标准、历史标准等，用于对绩效指标完成情况进行比较、分析、评价。本次评价主要采用了</w:t>
      </w:r>
      <w:r>
        <w:rPr>
          <w:rFonts w:hint="eastAsia" w:eastAsia="仿宋_GB2312"/>
          <w:color w:val="000000"/>
          <w:spacing w:val="17"/>
          <w:sz w:val="32"/>
          <w:szCs w:val="32"/>
          <w:highlight w:val="none"/>
          <w:lang w:val="en-US" w:eastAsia="zh-CN"/>
        </w:rPr>
        <w:t>计划</w:t>
      </w:r>
      <w:r>
        <w:rPr>
          <w:rFonts w:hint="eastAsia" w:eastAsia="仿宋_GB2312"/>
          <w:color w:val="000000"/>
          <w:spacing w:val="17"/>
          <w:sz w:val="32"/>
          <w:szCs w:val="32"/>
          <w:highlight w:val="none"/>
        </w:rPr>
        <w:t>标准。</w:t>
      </w:r>
    </w:p>
    <w:p w14:paraId="63DFCEC2">
      <w:pPr>
        <w:spacing w:line="560" w:lineRule="exact"/>
        <w:ind w:firstLine="640" w:firstLineChars="200"/>
        <w:rPr>
          <w:rFonts w:eastAsia="方正仿宋_GBK" w:cs="方正仿宋_GBK"/>
          <w:sz w:val="32"/>
          <w:szCs w:val="32"/>
          <w:highlight w:val="yellow"/>
        </w:rPr>
      </w:pPr>
      <w:bookmarkStart w:id="0" w:name="_Toc17882"/>
      <w:bookmarkStart w:id="1" w:name="_Toc31464"/>
      <w:r>
        <w:rPr>
          <w:rFonts w:hint="eastAsia" w:ascii="Times New Roman" w:hAnsi="Times New Roman" w:eastAsia="仿宋_GB2312" w:cs="Times New Roman"/>
          <w:b w:val="0"/>
          <w:bCs w:val="0"/>
          <w:kern w:val="28"/>
          <w:sz w:val="32"/>
          <w:szCs w:val="32"/>
          <w:lang w:val="en-US" w:eastAsia="zh-CN" w:bidi="ar-SA"/>
        </w:rPr>
        <w:t>本次项目支出绩效自评采用计划标准和行业标准，原因是：计划标准原因是制定目标、计划、预算、定额等作为评价标准，此项目资金安排流程正式按此格式来完成的。行业标准原因是比较规范的能确保此项目的规范性和安全性。</w:t>
      </w:r>
      <w:bookmarkEnd w:id="0"/>
      <w:bookmarkEnd w:id="1"/>
    </w:p>
    <w:p w14:paraId="2E9C0C9C">
      <w:pPr>
        <w:pStyle w:val="11"/>
        <w:numPr>
          <w:ilvl w:val="0"/>
          <w:numId w:val="3"/>
        </w:numPr>
        <w:spacing w:before="0" w:after="0" w:line="560" w:lineRule="exact"/>
        <w:ind w:firstLine="711" w:firstLineChars="200"/>
        <w:jc w:val="both"/>
        <w:rPr>
          <w:rFonts w:ascii="楷体" w:hAnsi="楷体" w:eastAsia="楷体" w:cs="楷体"/>
          <w:color w:val="000000"/>
          <w:spacing w:val="17"/>
          <w:highlight w:val="none"/>
        </w:rPr>
      </w:pPr>
      <w:r>
        <w:rPr>
          <w:rFonts w:hint="eastAsia" w:ascii="楷体" w:hAnsi="楷体" w:eastAsia="楷体" w:cs="楷体"/>
          <w:color w:val="000000"/>
          <w:spacing w:val="17"/>
          <w:highlight w:val="none"/>
        </w:rPr>
        <w:t>绩效评价工作过程</w:t>
      </w:r>
    </w:p>
    <w:p w14:paraId="43F1E8D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2E5A3B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4782B5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339A75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4E1343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7D7EBD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1AE9DA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75F4BBC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61DA9B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7954E99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16BFC9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76B6965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5008EC08">
      <w:pPr>
        <w:numPr>
          <w:ilvl w:val="0"/>
          <w:numId w:val="4"/>
        </w:numPr>
        <w:spacing w:line="560" w:lineRule="exact"/>
        <w:ind w:firstLine="640" w:firstLineChars="200"/>
        <w:rPr>
          <w:rFonts w:eastAsia="黑体"/>
          <w:sz w:val="32"/>
          <w:szCs w:val="32"/>
          <w:highlight w:val="none"/>
        </w:rPr>
      </w:pPr>
      <w:r>
        <w:rPr>
          <w:rFonts w:eastAsia="黑体"/>
          <w:sz w:val="32"/>
          <w:szCs w:val="32"/>
          <w:highlight w:val="none"/>
        </w:rPr>
        <w:t>综合评价情况及评价结论（附相关评分表）</w:t>
      </w:r>
    </w:p>
    <w:p w14:paraId="05564345">
      <w:pPr>
        <w:pStyle w:val="11"/>
        <w:spacing w:before="0" w:after="0" w:line="560" w:lineRule="exact"/>
        <w:ind w:firstLine="643" w:firstLineChars="200"/>
        <w:jc w:val="both"/>
        <w:rPr>
          <w:rFonts w:ascii="Times New Roman" w:hAnsi="Times New Roman" w:eastAsia="楷体_GB2312"/>
          <w:highlight w:val="none"/>
        </w:rPr>
      </w:pPr>
      <w:r>
        <w:rPr>
          <w:rFonts w:hint="eastAsia" w:ascii="Times New Roman" w:hAnsi="Times New Roman" w:eastAsia="楷体_GB2312"/>
          <w:highlight w:val="none"/>
        </w:rPr>
        <w:t>（一）评价情况</w:t>
      </w:r>
    </w:p>
    <w:p w14:paraId="20124825">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本项目的综合评价基于对项目各方面绩效的深入分析与评估。从项目目标的达成情况来看，伊州财行[2023]4</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号2024年度自治区基层</w:t>
      </w:r>
      <w:r>
        <w:rPr>
          <w:rFonts w:hint="eastAsia" w:eastAsia="仿宋_GB2312" w:cs="Times New Roman"/>
          <w:color w:val="auto"/>
          <w:sz w:val="32"/>
          <w:szCs w:val="32"/>
          <w:highlight w:val="none"/>
          <w:lang w:eastAsia="zh-CN"/>
        </w:rPr>
        <w:t>人大补助</w:t>
      </w:r>
      <w:r>
        <w:rPr>
          <w:rFonts w:hint="default" w:ascii="Times New Roman" w:hAnsi="Times New Roman" w:eastAsia="仿宋_GB2312" w:cs="Times New Roman"/>
          <w:color w:val="auto"/>
          <w:sz w:val="32"/>
          <w:szCs w:val="32"/>
          <w:highlight w:val="none"/>
        </w:rPr>
        <w:t>经费在给与乡（镇）、街道人大开展工作给与重点支持保障，从而达到基层人大办公条件不断改善。推动“一府一委两院”加强和改进联系人大代表工作，持续开展“万名代表进万家”“法治伊犁代表行”主题实践活动，深入开展“听取民声民意、助力安全发展、群众意见建议反映”三项活动和“习近平总书记关于坚持和完善人民代表大会制度的重要思想和新时代党的治疆方略大宣讲”活动，全面提升全县各级人大代表整体履职成效。达到了预期的标准与要求。同时，项目也在会议按期完成率取得了显著的成效，如会议出勤率等。</w:t>
      </w:r>
    </w:p>
    <w:p w14:paraId="139F1422">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在项目管理方面，中国人民政治协商会议特克斯县委员会办公室通过有效的规划、组织与协调，项目得以顺利实施，并在预算与时间上保持了良好的控制。</w:t>
      </w:r>
    </w:p>
    <w:p w14:paraId="5B3A1C0B">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从项目效益的角度来看，本项目不仅实现了预期的社会效益等方面产生了积极的影响。具体而言，政协委员提案通过率等方面的提升，为项目的利益相关者带来了实实在在的利益。</w:t>
      </w:r>
    </w:p>
    <w:p w14:paraId="506CFFC1">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综上所述，伊州财行[2023]4</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号2024年度自治区基层</w:t>
      </w:r>
      <w:r>
        <w:rPr>
          <w:rFonts w:hint="eastAsia" w:eastAsia="仿宋_GB2312" w:cs="Times New Roman"/>
          <w:sz w:val="32"/>
          <w:szCs w:val="32"/>
          <w:highlight w:val="none"/>
          <w:lang w:eastAsia="zh-CN"/>
        </w:rPr>
        <w:t>人大补助</w:t>
      </w:r>
      <w:r>
        <w:rPr>
          <w:rFonts w:hint="default" w:ascii="Times New Roman" w:hAnsi="Times New Roman" w:eastAsia="仿宋_GB2312" w:cs="Times New Roman"/>
          <w:sz w:val="32"/>
          <w:szCs w:val="32"/>
          <w:highlight w:val="none"/>
        </w:rPr>
        <w:t>经费在绩效评价中表现出色，达到了项目的预期目标，并在多个方面取得了显著的成效。</w:t>
      </w:r>
    </w:p>
    <w:p w14:paraId="07453D2D">
      <w:pPr>
        <w:pStyle w:val="11"/>
        <w:spacing w:before="0" w:after="0" w:line="560" w:lineRule="exact"/>
        <w:ind w:firstLine="643" w:firstLineChars="200"/>
        <w:jc w:val="both"/>
        <w:rPr>
          <w:rFonts w:ascii="Times New Roman" w:hAnsi="Times New Roman" w:eastAsia="楷体_GB2312"/>
          <w:highlight w:val="none"/>
        </w:rPr>
      </w:pPr>
      <w:r>
        <w:rPr>
          <w:rFonts w:hint="eastAsia" w:ascii="Times New Roman" w:hAnsi="Times New Roman" w:eastAsia="楷体_GB2312"/>
          <w:highlight w:val="none"/>
        </w:rPr>
        <w:t>（二）评价结论</w:t>
      </w:r>
    </w:p>
    <w:p w14:paraId="6A6DBF92">
      <w:pPr>
        <w:pStyle w:val="11"/>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hint="eastAsia" w:ascii="Times New Roman" w:hAnsi="Times New Roman" w:eastAsia="仿宋_GB2312"/>
          <w:b w:val="0"/>
          <w:bCs w:val="0"/>
          <w:highlight w:val="none"/>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 xml:space="preserve">分，属于“优”。其中，项目决策类指标权重为20分，得分为 </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%。项目过程类指标权重为20分，得分为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%。项目产出类指标权重为40分，得分为</w:t>
      </w:r>
      <w:r>
        <w:rPr>
          <w:rFonts w:hint="eastAsia" w:ascii="Times New Roman" w:hAnsi="Times New Roman" w:eastAsia="仿宋_GB2312"/>
          <w:b w:val="0"/>
          <w:bCs w:val="0"/>
          <w:highlight w:val="none"/>
          <w:lang w:val="en-US" w:eastAsia="zh-CN"/>
        </w:rPr>
        <w:t>40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%。项目效益类指标权重为20分，得分为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%。具体打分情况详见：附件1综合评分表。</w:t>
      </w:r>
    </w:p>
    <w:p w14:paraId="3B61F252">
      <w:pPr>
        <w:pStyle w:val="11"/>
        <w:spacing w:before="0" w:after="0"/>
        <w:rPr>
          <w:rFonts w:ascii="Times New Roman" w:hAnsi="Times New Roman" w:eastAsia="仿宋_GB2312"/>
          <w:sz w:val="30"/>
          <w:szCs w:val="30"/>
          <w:highlight w:val="none"/>
        </w:rPr>
      </w:pPr>
      <w:r>
        <w:rPr>
          <w:rFonts w:ascii="Times New Roman" w:hAnsi="Times New Roman" w:eastAsia="仿宋_GB2312"/>
          <w:sz w:val="30"/>
          <w:szCs w:val="30"/>
          <w:highlight w:val="none"/>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09CF7FB9">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2170F1D9">
            <w:pPr>
              <w:jc w:val="center"/>
              <w:rPr>
                <w:b/>
                <w:bCs/>
                <w:color w:val="000000"/>
                <w:sz w:val="22"/>
                <w:highlight w:val="none"/>
              </w:rPr>
            </w:pPr>
            <w:r>
              <w:rPr>
                <w:rFonts w:hint="eastAsia"/>
                <w:b/>
                <w:bCs/>
                <w:color w:val="000000"/>
                <w:sz w:val="22"/>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201982CA">
            <w:pPr>
              <w:jc w:val="center"/>
              <w:rPr>
                <w:b/>
                <w:bCs/>
                <w:color w:val="000000"/>
                <w:sz w:val="22"/>
                <w:highlight w:val="none"/>
              </w:rPr>
            </w:pPr>
            <w:r>
              <w:rPr>
                <w:rFonts w:hint="eastAsia"/>
                <w:b/>
                <w:bCs/>
                <w:color w:val="000000"/>
                <w:sz w:val="22"/>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5A7BFFEA">
            <w:pPr>
              <w:jc w:val="center"/>
              <w:rPr>
                <w:b/>
                <w:bCs/>
                <w:color w:val="000000"/>
                <w:sz w:val="22"/>
                <w:highlight w:val="none"/>
              </w:rPr>
            </w:pPr>
            <w:r>
              <w:rPr>
                <w:rFonts w:hint="eastAsia"/>
                <w:b/>
                <w:bCs/>
                <w:color w:val="000000"/>
                <w:sz w:val="22"/>
                <w:highlight w:val="none"/>
              </w:rPr>
              <w:t>得分</w:t>
            </w:r>
          </w:p>
        </w:tc>
      </w:tr>
      <w:tr w14:paraId="64A21CD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0B15306">
            <w:pPr>
              <w:jc w:val="center"/>
              <w:rPr>
                <w:color w:val="000000"/>
                <w:sz w:val="22"/>
                <w:highlight w:val="none"/>
              </w:rPr>
            </w:pPr>
            <w:r>
              <w:rPr>
                <w:rFonts w:hint="eastAsia"/>
                <w:color w:val="000000"/>
                <w:sz w:val="2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14:paraId="35E35C24">
            <w:pPr>
              <w:jc w:val="center"/>
              <w:rPr>
                <w:color w:val="000000"/>
                <w:sz w:val="22"/>
                <w:highlight w:val="none"/>
              </w:rPr>
            </w:pPr>
            <w:r>
              <w:rPr>
                <w:rFonts w:hint="eastAsia"/>
                <w:color w:val="000000"/>
                <w:sz w:val="22"/>
                <w:highlight w:val="none"/>
              </w:rPr>
              <w:t>20</w:t>
            </w:r>
          </w:p>
        </w:tc>
        <w:tc>
          <w:tcPr>
            <w:tcW w:w="2278" w:type="dxa"/>
            <w:tcBorders>
              <w:top w:val="nil"/>
              <w:left w:val="nil"/>
              <w:bottom w:val="single" w:color="auto" w:sz="4" w:space="0"/>
              <w:right w:val="single" w:color="auto" w:sz="4" w:space="0"/>
            </w:tcBorders>
            <w:shd w:val="clear" w:color="auto" w:fill="auto"/>
            <w:vAlign w:val="center"/>
          </w:tcPr>
          <w:p w14:paraId="6679D27D">
            <w:pPr>
              <w:jc w:val="center"/>
              <w:rPr>
                <w:rFonts w:hint="default" w:eastAsia="宋体"/>
                <w:color w:val="000000"/>
                <w:sz w:val="22"/>
                <w:highlight w:val="none"/>
                <w:lang w:val="en-US" w:eastAsia="zh-CN"/>
              </w:rPr>
            </w:pPr>
            <w:r>
              <w:rPr>
                <w:rFonts w:hint="eastAsia"/>
                <w:color w:val="000000"/>
                <w:sz w:val="22"/>
                <w:highlight w:val="none"/>
                <w:lang w:val="en-US" w:eastAsia="zh-CN"/>
              </w:rPr>
              <w:t>20</w:t>
            </w:r>
          </w:p>
        </w:tc>
      </w:tr>
      <w:tr w14:paraId="3A17A78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7EC74BA">
            <w:pPr>
              <w:jc w:val="center"/>
              <w:rPr>
                <w:color w:val="000000"/>
                <w:sz w:val="22"/>
                <w:highlight w:val="none"/>
              </w:rPr>
            </w:pPr>
            <w:r>
              <w:rPr>
                <w:rFonts w:hint="eastAsia"/>
                <w:color w:val="000000"/>
                <w:sz w:val="2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14:paraId="2B3E1DB9">
            <w:pPr>
              <w:jc w:val="center"/>
              <w:rPr>
                <w:color w:val="000000"/>
                <w:sz w:val="22"/>
                <w:highlight w:val="none"/>
              </w:rPr>
            </w:pPr>
            <w:r>
              <w:rPr>
                <w:rFonts w:hint="eastAsia"/>
                <w:color w:val="000000"/>
                <w:sz w:val="22"/>
                <w:highlight w:val="none"/>
              </w:rPr>
              <w:t>20</w:t>
            </w:r>
          </w:p>
        </w:tc>
        <w:tc>
          <w:tcPr>
            <w:tcW w:w="2278" w:type="dxa"/>
            <w:tcBorders>
              <w:top w:val="nil"/>
              <w:left w:val="nil"/>
              <w:bottom w:val="single" w:color="auto" w:sz="4" w:space="0"/>
              <w:right w:val="single" w:color="auto" w:sz="4" w:space="0"/>
            </w:tcBorders>
            <w:shd w:val="clear" w:color="auto" w:fill="auto"/>
            <w:vAlign w:val="center"/>
          </w:tcPr>
          <w:p w14:paraId="7FE2D4BA">
            <w:pPr>
              <w:jc w:val="center"/>
              <w:rPr>
                <w:rFonts w:hint="default" w:eastAsia="宋体"/>
                <w:color w:val="000000"/>
                <w:sz w:val="22"/>
                <w:highlight w:val="none"/>
                <w:lang w:val="en-US" w:eastAsia="zh-CN"/>
              </w:rPr>
            </w:pPr>
            <w:r>
              <w:rPr>
                <w:rFonts w:hint="eastAsia"/>
                <w:color w:val="000000"/>
                <w:sz w:val="22"/>
                <w:highlight w:val="none"/>
                <w:lang w:val="en-US" w:eastAsia="zh-CN"/>
              </w:rPr>
              <w:t>20</w:t>
            </w:r>
          </w:p>
        </w:tc>
      </w:tr>
      <w:tr w14:paraId="32E85A4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7739153">
            <w:pPr>
              <w:jc w:val="center"/>
              <w:rPr>
                <w:color w:val="000000"/>
                <w:sz w:val="22"/>
                <w:highlight w:val="none"/>
              </w:rPr>
            </w:pPr>
            <w:r>
              <w:rPr>
                <w:rFonts w:hint="eastAsia"/>
                <w:color w:val="000000"/>
                <w:sz w:val="2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14:paraId="77DB845A">
            <w:pPr>
              <w:jc w:val="center"/>
              <w:rPr>
                <w:color w:val="000000"/>
                <w:sz w:val="22"/>
                <w:highlight w:val="none"/>
              </w:rPr>
            </w:pPr>
            <w:r>
              <w:rPr>
                <w:rFonts w:hint="eastAsia"/>
                <w:color w:val="000000"/>
                <w:sz w:val="22"/>
                <w:highlight w:val="none"/>
              </w:rPr>
              <w:t>40</w:t>
            </w:r>
          </w:p>
        </w:tc>
        <w:tc>
          <w:tcPr>
            <w:tcW w:w="2278" w:type="dxa"/>
            <w:tcBorders>
              <w:top w:val="nil"/>
              <w:left w:val="nil"/>
              <w:bottom w:val="single" w:color="auto" w:sz="4" w:space="0"/>
              <w:right w:val="single" w:color="auto" w:sz="4" w:space="0"/>
            </w:tcBorders>
            <w:shd w:val="clear" w:color="auto" w:fill="auto"/>
            <w:vAlign w:val="center"/>
          </w:tcPr>
          <w:p w14:paraId="4E4EA7B6">
            <w:pPr>
              <w:jc w:val="center"/>
              <w:rPr>
                <w:rFonts w:hint="default" w:eastAsia="宋体"/>
                <w:color w:val="000000"/>
                <w:sz w:val="22"/>
                <w:highlight w:val="none"/>
                <w:lang w:val="en-US" w:eastAsia="zh-CN"/>
              </w:rPr>
            </w:pPr>
            <w:r>
              <w:rPr>
                <w:rFonts w:hint="eastAsia"/>
                <w:color w:val="000000"/>
                <w:sz w:val="22"/>
                <w:highlight w:val="none"/>
                <w:lang w:val="en-US" w:eastAsia="zh-CN"/>
              </w:rPr>
              <w:t>40</w:t>
            </w:r>
          </w:p>
        </w:tc>
      </w:tr>
      <w:tr w14:paraId="27502D9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6043CBE">
            <w:pPr>
              <w:jc w:val="center"/>
              <w:rPr>
                <w:color w:val="000000"/>
                <w:sz w:val="22"/>
                <w:highlight w:val="none"/>
              </w:rPr>
            </w:pPr>
            <w:r>
              <w:rPr>
                <w:rFonts w:hint="eastAsia"/>
                <w:color w:val="000000"/>
                <w:sz w:val="2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14:paraId="1447A714">
            <w:pPr>
              <w:jc w:val="center"/>
              <w:rPr>
                <w:color w:val="000000"/>
                <w:sz w:val="22"/>
                <w:highlight w:val="none"/>
              </w:rPr>
            </w:pPr>
            <w:r>
              <w:rPr>
                <w:rFonts w:hint="eastAsia"/>
                <w:color w:val="000000"/>
                <w:sz w:val="22"/>
                <w:highlight w:val="none"/>
              </w:rPr>
              <w:t>20</w:t>
            </w:r>
          </w:p>
        </w:tc>
        <w:tc>
          <w:tcPr>
            <w:tcW w:w="2278" w:type="dxa"/>
            <w:tcBorders>
              <w:top w:val="nil"/>
              <w:left w:val="nil"/>
              <w:bottom w:val="single" w:color="auto" w:sz="4" w:space="0"/>
              <w:right w:val="single" w:color="auto" w:sz="4" w:space="0"/>
            </w:tcBorders>
            <w:shd w:val="clear" w:color="auto" w:fill="auto"/>
            <w:vAlign w:val="center"/>
          </w:tcPr>
          <w:p w14:paraId="0526B969">
            <w:pPr>
              <w:jc w:val="center"/>
              <w:rPr>
                <w:rFonts w:hint="default" w:eastAsia="宋体"/>
                <w:color w:val="000000"/>
                <w:sz w:val="22"/>
                <w:highlight w:val="none"/>
                <w:lang w:val="en-US" w:eastAsia="zh-CN"/>
              </w:rPr>
            </w:pPr>
            <w:r>
              <w:rPr>
                <w:rFonts w:hint="eastAsia"/>
                <w:color w:val="000000"/>
                <w:sz w:val="22"/>
                <w:highlight w:val="none"/>
                <w:lang w:val="en-US" w:eastAsia="zh-CN"/>
              </w:rPr>
              <w:t>20</w:t>
            </w:r>
          </w:p>
        </w:tc>
      </w:tr>
      <w:tr w14:paraId="6242573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33F244C">
            <w:pPr>
              <w:jc w:val="center"/>
              <w:rPr>
                <w:rFonts w:cs="宋体"/>
                <w:b/>
                <w:bCs/>
                <w:color w:val="000000"/>
                <w:sz w:val="22"/>
                <w:highlight w:val="none"/>
              </w:rPr>
            </w:pPr>
            <w:r>
              <w:rPr>
                <w:rFonts w:hint="eastAsia" w:cs="宋体"/>
                <w:b/>
                <w:bCs/>
                <w:color w:val="000000"/>
                <w:sz w:val="22"/>
                <w:highlight w:val="none"/>
              </w:rPr>
              <w:t>合计</w:t>
            </w:r>
          </w:p>
        </w:tc>
        <w:tc>
          <w:tcPr>
            <w:tcW w:w="2168" w:type="dxa"/>
            <w:tcBorders>
              <w:top w:val="nil"/>
              <w:left w:val="nil"/>
              <w:bottom w:val="single" w:color="auto" w:sz="4" w:space="0"/>
              <w:right w:val="single" w:color="auto" w:sz="4" w:space="0"/>
            </w:tcBorders>
            <w:shd w:val="clear" w:color="auto" w:fill="auto"/>
            <w:vAlign w:val="center"/>
          </w:tcPr>
          <w:p w14:paraId="3E841268">
            <w:pPr>
              <w:jc w:val="center"/>
              <w:rPr>
                <w:b/>
                <w:bCs/>
                <w:color w:val="000000"/>
                <w:sz w:val="22"/>
                <w:highlight w:val="none"/>
              </w:rPr>
            </w:pPr>
            <w:r>
              <w:rPr>
                <w:rFonts w:hint="eastAsia"/>
                <w:b/>
                <w:bCs/>
                <w:color w:val="000000"/>
                <w:sz w:val="22"/>
                <w:highlight w:val="none"/>
              </w:rPr>
              <w:t>100</w:t>
            </w:r>
          </w:p>
        </w:tc>
        <w:tc>
          <w:tcPr>
            <w:tcW w:w="2278" w:type="dxa"/>
            <w:tcBorders>
              <w:top w:val="nil"/>
              <w:left w:val="nil"/>
              <w:bottom w:val="single" w:color="auto" w:sz="4" w:space="0"/>
              <w:right w:val="single" w:color="auto" w:sz="4" w:space="0"/>
            </w:tcBorders>
            <w:shd w:val="clear" w:color="auto" w:fill="auto"/>
            <w:vAlign w:val="center"/>
          </w:tcPr>
          <w:p w14:paraId="586B18B2">
            <w:pPr>
              <w:jc w:val="center"/>
              <w:rPr>
                <w:rFonts w:hint="default" w:eastAsia="宋体"/>
                <w:b/>
                <w:bCs/>
                <w:color w:val="000000"/>
                <w:sz w:val="22"/>
                <w:highlight w:val="none"/>
                <w:lang w:val="en-US" w:eastAsia="zh-CN"/>
              </w:rPr>
            </w:pPr>
            <w:r>
              <w:rPr>
                <w:rFonts w:hint="eastAsia"/>
                <w:b/>
                <w:bCs/>
                <w:color w:val="000000"/>
                <w:sz w:val="22"/>
                <w:highlight w:val="none"/>
                <w:lang w:val="en-US" w:eastAsia="zh-CN"/>
              </w:rPr>
              <w:t>100</w:t>
            </w:r>
          </w:p>
        </w:tc>
      </w:tr>
    </w:tbl>
    <w:p w14:paraId="1193085E">
      <w:pPr>
        <w:spacing w:line="560" w:lineRule="exact"/>
        <w:ind w:firstLine="640" w:firstLineChars="200"/>
        <w:rPr>
          <w:rFonts w:eastAsia="黑体"/>
          <w:sz w:val="32"/>
          <w:szCs w:val="32"/>
          <w:highlight w:val="none"/>
        </w:rPr>
      </w:pPr>
      <w:r>
        <w:rPr>
          <w:rFonts w:eastAsia="黑体"/>
          <w:sz w:val="32"/>
          <w:szCs w:val="32"/>
          <w:highlight w:val="none"/>
        </w:rPr>
        <w:t>四、绩效评价指标分析</w:t>
      </w:r>
    </w:p>
    <w:p w14:paraId="2EA81C0C">
      <w:pPr>
        <w:pStyle w:val="11"/>
        <w:spacing w:before="0" w:after="0" w:line="560" w:lineRule="exact"/>
        <w:ind w:firstLine="643" w:firstLineChars="200"/>
        <w:jc w:val="both"/>
        <w:rPr>
          <w:rFonts w:ascii="Times New Roman" w:hAnsi="Times New Roman" w:eastAsia="楷体_GB2312"/>
          <w:highlight w:val="none"/>
        </w:rPr>
      </w:pPr>
      <w:r>
        <w:rPr>
          <w:rFonts w:ascii="Times New Roman" w:hAnsi="Times New Roman" w:eastAsia="楷体_GB2312"/>
          <w:highlight w:val="none"/>
        </w:rPr>
        <w:t>（一）项目决策情况</w:t>
      </w:r>
    </w:p>
    <w:p w14:paraId="4E4E8E8D">
      <w:pPr>
        <w:spacing w:line="600" w:lineRule="exact"/>
        <w:ind w:firstLine="600" w:firstLineChars="200"/>
        <w:outlineLvl w:val="0"/>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项目决策类指标包括项目立项、绩效目标和资金投入三方面的内容，由6个三级指标构成，权重分值为20分，实际得分</w:t>
      </w:r>
      <w:r>
        <w:rPr>
          <w:rFonts w:hint="eastAsia" w:ascii="仿宋_GB2312" w:hAnsi="仿宋_GB2312" w:eastAsia="仿宋_GB2312" w:cs="仿宋_GB2312"/>
          <w:sz w:val="30"/>
          <w:szCs w:val="30"/>
          <w:highlight w:val="none"/>
          <w:lang w:val="en-US" w:eastAsia="zh-CN"/>
        </w:rPr>
        <w:t>20</w:t>
      </w:r>
      <w:r>
        <w:rPr>
          <w:rFonts w:hint="eastAsia" w:ascii="仿宋_GB2312" w:hAnsi="仿宋_GB2312" w:eastAsia="仿宋_GB2312" w:cs="仿宋_GB2312"/>
          <w:sz w:val="30"/>
          <w:szCs w:val="30"/>
          <w:highlight w:val="none"/>
        </w:rPr>
        <w:t>分，得分率为</w:t>
      </w:r>
      <w:r>
        <w:rPr>
          <w:rFonts w:hint="eastAsia" w:ascii="仿宋_GB2312" w:hAnsi="仿宋_GB2312" w:eastAsia="仿宋_GB2312" w:cs="仿宋_GB2312"/>
          <w:sz w:val="30"/>
          <w:szCs w:val="30"/>
          <w:highlight w:val="none"/>
          <w:lang w:val="en-US" w:eastAsia="zh-CN"/>
        </w:rPr>
        <w:t>100</w:t>
      </w:r>
      <w:r>
        <w:rPr>
          <w:rFonts w:hint="eastAsia" w:ascii="仿宋_GB2312" w:hAnsi="仿宋_GB2312" w:eastAsia="仿宋_GB2312" w:cs="仿宋_GB2312"/>
          <w:sz w:val="30"/>
          <w:szCs w:val="30"/>
          <w:highlight w:val="none"/>
        </w:rPr>
        <w:t>%。</w:t>
      </w:r>
    </w:p>
    <w:p w14:paraId="0DB77A11">
      <w:pPr>
        <w:pStyle w:val="22"/>
        <w:spacing w:line="560" w:lineRule="exact"/>
        <w:ind w:firstLine="640"/>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1.项目立项</w:t>
      </w:r>
    </w:p>
    <w:p w14:paraId="0466F217">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（1）立项依据充分性</w:t>
      </w:r>
    </w:p>
    <w:p w14:paraId="50D6EE81">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46F67D0C">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（2）立项程序规范性</w:t>
      </w:r>
    </w:p>
    <w:p w14:paraId="3F7752D1">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风险评估、绩效评估、集体决策，保障了程序的规范性。</w:t>
      </w:r>
    </w:p>
    <w:p w14:paraId="5D315C7F">
      <w:pPr>
        <w:pStyle w:val="22"/>
        <w:spacing w:line="560" w:lineRule="exact"/>
        <w:ind w:firstLine="640"/>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2.绩效目标</w:t>
      </w:r>
    </w:p>
    <w:p w14:paraId="1745AE51">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（1）绩效目标合理性</w:t>
      </w:r>
    </w:p>
    <w:p w14:paraId="2C50C327">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0662B811">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（2）绩效指标明确性</w:t>
      </w:r>
    </w:p>
    <w:p w14:paraId="50E1B44D">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项目设置了明确的预期产出效益和效果，将绩效目标细化分解为具体的绩效指标，绩效目标与项目目标任务数相对应，绩效目标设定的绩效指标清晰、细化、可衡量。</w:t>
      </w:r>
    </w:p>
    <w:p w14:paraId="11C30182">
      <w:pPr>
        <w:pStyle w:val="22"/>
        <w:spacing w:line="560" w:lineRule="exact"/>
        <w:ind w:firstLine="640"/>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3.资金投入</w:t>
      </w:r>
    </w:p>
    <w:p w14:paraId="0285A84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5A6854E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442E28D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480982E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197FE4B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57CCBCC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72CB7E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4021793D">
      <w:pPr>
        <w:pStyle w:val="11"/>
        <w:numPr>
          <w:ilvl w:val="0"/>
          <w:numId w:val="5"/>
        </w:numPr>
        <w:spacing w:before="0" w:after="0" w:line="560" w:lineRule="exact"/>
        <w:ind w:firstLine="643" w:firstLineChars="200"/>
        <w:jc w:val="both"/>
        <w:rPr>
          <w:rFonts w:ascii="楷体" w:hAnsi="楷体" w:eastAsia="楷体" w:cs="楷体"/>
          <w:highlight w:val="none"/>
        </w:rPr>
      </w:pPr>
      <w:r>
        <w:rPr>
          <w:rFonts w:hint="eastAsia" w:ascii="楷体" w:hAnsi="楷体" w:eastAsia="楷体" w:cs="楷体"/>
          <w:highlight w:val="none"/>
        </w:rPr>
        <w:t>项目过程情况</w:t>
      </w:r>
    </w:p>
    <w:p w14:paraId="6B80EB40">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项目过程类指标包括资金管理和组织实施两方面的内容，由5个三级指标构成，权重分值为20分，实际得分</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分，得分率为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14:paraId="6D04F40C">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项目资金使用符合相关的财务管理制度规定，能够反映和考核项目资金的规范运行情况；项目实施单位的财务和业务管理制度健全，能够反映和考核财务和业务管理制度对项目顺利实施的保障情况。</w:t>
      </w:r>
    </w:p>
    <w:p w14:paraId="56D391B5">
      <w:pPr>
        <w:pStyle w:val="22"/>
        <w:spacing w:line="560" w:lineRule="exact"/>
        <w:ind w:firstLine="640"/>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1.资金管理</w:t>
      </w:r>
    </w:p>
    <w:p w14:paraId="49424A16">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（1）资金到位率</w:t>
      </w:r>
    </w:p>
    <w:p w14:paraId="32B40990">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本项目总投资</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万元，财政资金及时足额到位，到位率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%，预算资金按计划进度执行。</w:t>
      </w:r>
    </w:p>
    <w:p w14:paraId="44FDC5B5">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（2）预算执行率</w:t>
      </w:r>
    </w:p>
    <w:p w14:paraId="369D1CFA">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预算编制较为详细，项目资金支出总体能够按照预算执行，预算资金支出</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万元，预算执行率为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14:paraId="135E9B41">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（3）资金使用合规性</w:t>
      </w:r>
    </w:p>
    <w:p w14:paraId="5C658A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74B514E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25E5FB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62D803BA">
      <w:pPr>
        <w:pStyle w:val="22"/>
        <w:spacing w:line="560" w:lineRule="exact"/>
        <w:ind w:firstLine="640"/>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2.组织实施</w:t>
      </w:r>
    </w:p>
    <w:p w14:paraId="1D89C586">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（1）管理制度健全性</w:t>
      </w:r>
    </w:p>
    <w:p w14:paraId="13CCFC9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292EF16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125208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63BF27E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612F819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18F641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5C480F25">
      <w:pPr>
        <w:pStyle w:val="12"/>
        <w:numPr>
          <w:ilvl w:val="0"/>
          <w:numId w:val="5"/>
        </w:numPr>
        <w:spacing w:line="560" w:lineRule="exact"/>
        <w:ind w:firstLine="643"/>
        <w:rPr>
          <w:rFonts w:eastAsia="楷体_GB2312"/>
          <w:b/>
          <w:bCs/>
          <w:sz w:val="32"/>
          <w:szCs w:val="32"/>
          <w:highlight w:val="none"/>
        </w:rPr>
      </w:pPr>
      <w:r>
        <w:rPr>
          <w:rFonts w:eastAsia="楷体_GB2312"/>
          <w:b/>
          <w:bCs/>
          <w:sz w:val="32"/>
          <w:szCs w:val="32"/>
          <w:highlight w:val="none"/>
        </w:rPr>
        <w:t>项目产出</w:t>
      </w:r>
      <w:r>
        <w:rPr>
          <w:rFonts w:hint="eastAsia" w:eastAsia="楷体_GB2312"/>
          <w:b/>
          <w:bCs/>
          <w:sz w:val="32"/>
          <w:szCs w:val="32"/>
          <w:highlight w:val="none"/>
        </w:rPr>
        <w:t>情况</w:t>
      </w:r>
    </w:p>
    <w:p w14:paraId="37649E35">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项目产出类指标包括产出数量、产出质量、产出时效</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成本指标四</w:t>
      </w:r>
      <w:r>
        <w:rPr>
          <w:rFonts w:hint="eastAsia" w:ascii="仿宋_GB2312" w:hAnsi="仿宋_GB2312" w:eastAsia="仿宋_GB2312" w:cs="仿宋_GB2312"/>
          <w:sz w:val="32"/>
          <w:szCs w:val="32"/>
          <w:highlight w:val="none"/>
        </w:rPr>
        <w:t>方面的内容，由</w:t>
      </w: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个三级指标构成，权重分为40分，实际得分</w:t>
      </w:r>
      <w:r>
        <w:rPr>
          <w:rFonts w:hint="eastAsia" w:ascii="仿宋_GB2312" w:hAnsi="仿宋_GB2312" w:eastAsia="仿宋_GB2312" w:cs="仿宋_GB2312"/>
          <w:sz w:val="32"/>
          <w:szCs w:val="32"/>
          <w:highlight w:val="none"/>
          <w:lang w:val="en-US" w:eastAsia="zh-CN"/>
        </w:rPr>
        <w:t>40</w:t>
      </w:r>
      <w:r>
        <w:rPr>
          <w:rFonts w:hint="eastAsia" w:ascii="仿宋_GB2312" w:hAnsi="仿宋_GB2312" w:eastAsia="仿宋_GB2312" w:cs="仿宋_GB2312"/>
          <w:sz w:val="32"/>
          <w:szCs w:val="32"/>
          <w:highlight w:val="none"/>
        </w:rPr>
        <w:t>分，得分率为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%。具体产出指标完成情况如下：</w:t>
      </w:r>
    </w:p>
    <w:p w14:paraId="114E8DE3">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1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①</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数量指标：</w:t>
      </w:r>
    </w:p>
    <w:p w14:paraId="686EB95C">
      <w:pP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指标1：</w:t>
      </w:r>
      <w:r>
        <w:rPr>
          <w:rFonts w:hint="eastAsia" w:ascii="仿宋_GB2312" w:hAnsi="仿宋_GB2312" w:eastAsia="仿宋_GB2312" w:cs="仿宋_GB2312"/>
          <w:sz w:val="32"/>
          <w:szCs w:val="32"/>
          <w:highlight w:val="none"/>
          <w:lang w:val="en-US" w:eastAsia="zh-CN"/>
        </w:rPr>
        <w:t>拨付单位个数</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≥8个</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8个</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14:paraId="31066D70">
      <w:pP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指标2：</w:t>
      </w:r>
      <w:r>
        <w:rPr>
          <w:rFonts w:hint="eastAsia" w:ascii="仿宋_GB2312" w:hAnsi="仿宋_GB2312" w:eastAsia="仿宋_GB2312" w:cs="仿宋_GB2312"/>
          <w:sz w:val="32"/>
          <w:szCs w:val="32"/>
          <w:highlight w:val="none"/>
          <w:lang w:val="en-US" w:eastAsia="zh-CN"/>
        </w:rPr>
        <w:t>举办活动场次</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≥4次</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4次</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14:paraId="68868A38">
      <w:pPr>
        <w:pStyle w:val="9"/>
        <w:rPr>
          <w:rFonts w:hint="eastAsia" w:ascii="仿宋_GB2312" w:hAnsi="仿宋_GB2312" w:eastAsia="仿宋_GB2312" w:cs="仿宋_GB2312"/>
          <w:sz w:val="32"/>
          <w:szCs w:val="32"/>
          <w:highlight w:val="none"/>
          <w:lang w:eastAsia="zh-CN"/>
        </w:rPr>
      </w:pPr>
    </w:p>
    <w:p w14:paraId="6441C486">
      <w:pPr>
        <w:pStyle w:val="9"/>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举办活动天数</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≥8天</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8天</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14:paraId="2D5C303A">
      <w:pPr>
        <w:pStyle w:val="9"/>
        <w:rPr>
          <w:rFonts w:hint="eastAsia" w:ascii="仿宋_GB2312" w:hAnsi="仿宋_GB2312" w:eastAsia="仿宋_GB2312" w:cs="仿宋_GB2312"/>
          <w:sz w:val="32"/>
          <w:szCs w:val="32"/>
          <w:highlight w:val="none"/>
          <w:lang w:eastAsia="zh-CN"/>
        </w:rPr>
      </w:pPr>
    </w:p>
    <w:p w14:paraId="4CA7088E">
      <w:pPr>
        <w:pStyle w:val="9"/>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参加活动人数</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≥50人</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50人</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14:paraId="19DC529D">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2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②</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质量指标：</w:t>
      </w:r>
    </w:p>
    <w:p w14:paraId="7B0512B5">
      <w:pP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拨付准确率</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≥98%</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98%</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14:paraId="09093BF5">
      <w:pP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活动出勤率</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≥95%</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95%</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14:paraId="16F5F4BA">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3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③</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时效指标：</w:t>
      </w:r>
    </w:p>
    <w:p w14:paraId="2D8DD9DE">
      <w:pP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拨付及时率</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≥98%</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98%</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14:paraId="548ECD82">
      <w:pP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活动按时完成率</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≥95%</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95%</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14:paraId="27E9B17A">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4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④</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成本指标：</w:t>
      </w:r>
    </w:p>
    <w:p w14:paraId="73F5A90C">
      <w:pPr>
        <w:pStyle w:val="9"/>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拨付各乡镇人大工作经费</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＝4万元</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4万元</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14:paraId="5F585DAE">
      <w:pPr>
        <w:pStyle w:val="9"/>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各级人大代表活动经费</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＝4万元</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4万元</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14:paraId="20A15F88">
      <w:pPr>
        <w:pStyle w:val="12"/>
        <w:keepNext w:val="0"/>
        <w:keepLines w:val="0"/>
        <w:pageBreakBefore w:val="0"/>
        <w:widowControl w:val="0"/>
        <w:numPr>
          <w:ilvl w:val="0"/>
          <w:numId w:val="5"/>
        </w:numPr>
        <w:kinsoku/>
        <w:wordWrap/>
        <w:overflowPunct/>
        <w:topLinePunct w:val="0"/>
        <w:autoSpaceDE/>
        <w:autoSpaceDN/>
        <w:bidi w:val="0"/>
        <w:adjustRightInd/>
        <w:spacing w:line="600" w:lineRule="exact"/>
        <w:ind w:firstLine="643"/>
        <w:textAlignment w:val="auto"/>
        <w:rPr>
          <w:rFonts w:eastAsia="楷体_GB2312"/>
          <w:b/>
          <w:bCs/>
          <w:sz w:val="32"/>
          <w:szCs w:val="32"/>
          <w:highlight w:val="none"/>
        </w:rPr>
      </w:pPr>
      <w:r>
        <w:rPr>
          <w:rFonts w:hint="eastAsia" w:eastAsia="楷体_GB2312"/>
          <w:b/>
          <w:bCs/>
          <w:sz w:val="32"/>
          <w:szCs w:val="32"/>
          <w:highlight w:val="none"/>
        </w:rPr>
        <w:t>项目效益情况</w:t>
      </w:r>
    </w:p>
    <w:p w14:paraId="3BAB18BB">
      <w:pPr>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项目效益类指标包括项目实施效益和满意度两方面的内容，由</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个三级指标构成，权重分为20分，实际得分</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分，得分率为</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%。具体效益指标及满意度指标完成情况如下：</w:t>
      </w:r>
    </w:p>
    <w:p w14:paraId="4B7586DC">
      <w:pPr>
        <w:keepNext w:val="0"/>
        <w:keepLines w:val="0"/>
        <w:pageBreakBefore w:val="0"/>
        <w:widowControl w:val="0"/>
        <w:kinsoku/>
        <w:wordWrap/>
        <w:overflowPunct/>
        <w:topLinePunct w:val="0"/>
        <w:autoSpaceDE/>
        <w:autoSpaceDN/>
        <w:bidi w:val="0"/>
        <w:adjustRightInd/>
        <w:spacing w:line="600" w:lineRule="exact"/>
        <w:ind w:left="0"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1.实施效益</w:t>
      </w:r>
    </w:p>
    <w:p w14:paraId="33A5B4B7">
      <w:pPr>
        <w:keepNext w:val="0"/>
        <w:keepLines w:val="0"/>
        <w:pageBreakBefore w:val="0"/>
        <w:widowControl w:val="0"/>
        <w:kinsoku/>
        <w:wordWrap/>
        <w:overflowPunct/>
        <w:topLinePunct w:val="0"/>
        <w:autoSpaceDE/>
        <w:autoSpaceDN/>
        <w:bidi w:val="0"/>
        <w:adjustRightInd/>
        <w:spacing w:line="600" w:lineRule="exact"/>
        <w:ind w:left="0" w:firstLine="640" w:firstLineChars="200"/>
        <w:textAlignment w:val="auto"/>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①社会效益指标：</w:t>
      </w:r>
    </w:p>
    <w:p w14:paraId="54FCB970">
      <w:pPr>
        <w:keepNext w:val="0"/>
        <w:keepLines w:val="0"/>
        <w:pageBreakBefore w:val="0"/>
        <w:widowControl w:val="0"/>
        <w:kinsoku/>
        <w:wordWrap/>
        <w:overflowPunct/>
        <w:topLinePunct w:val="0"/>
        <w:autoSpaceDE/>
        <w:autoSpaceDN/>
        <w:bidi w:val="0"/>
        <w:adjustRightInd/>
        <w:spacing w:line="600" w:lineRule="exact"/>
        <w:ind w:left="0" w:firstLine="640" w:firstLineChars="200"/>
        <w:textAlignment w:val="auto"/>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提高各基层人大代表履职能力</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明显提升</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明显提升</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14:paraId="625EDABD">
      <w:pPr>
        <w:pStyle w:val="9"/>
        <w:keepNext w:val="0"/>
        <w:keepLines w:val="0"/>
        <w:pageBreakBefore w:val="0"/>
        <w:widowControl w:val="0"/>
        <w:kinsoku/>
        <w:wordWrap/>
        <w:overflowPunct/>
        <w:topLinePunct w:val="0"/>
        <w:autoSpaceDE/>
        <w:autoSpaceDN/>
        <w:bidi w:val="0"/>
        <w:adjustRightInd/>
        <w:spacing w:line="600" w:lineRule="exact"/>
        <w:ind w:left="0" w:firstLine="640" w:firstLineChars="200"/>
        <w:textAlignment w:val="auto"/>
        <w:rPr>
          <w:highlight w:val="none"/>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改善各基层人大工作环境</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有效改善</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有效改善</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14:paraId="17AB908F">
      <w:pPr>
        <w:pStyle w:val="12"/>
        <w:keepNext w:val="0"/>
        <w:keepLines w:val="0"/>
        <w:pageBreakBefore w:val="0"/>
        <w:widowControl w:val="0"/>
        <w:kinsoku/>
        <w:wordWrap/>
        <w:overflowPunct/>
        <w:topLinePunct w:val="0"/>
        <w:autoSpaceDE/>
        <w:autoSpaceDN/>
        <w:bidi w:val="0"/>
        <w:adjustRightInd/>
        <w:spacing w:line="600" w:lineRule="exact"/>
        <w:ind w:left="0" w:firstLine="643" w:firstLineChars="200"/>
        <w:textAlignment w:val="auto"/>
        <w:rPr>
          <w:rFonts w:eastAsia="楷体_GB2312"/>
          <w:b/>
          <w:bCs/>
          <w:sz w:val="32"/>
          <w:szCs w:val="32"/>
          <w:highlight w:val="none"/>
        </w:rPr>
      </w:pPr>
      <w:r>
        <w:rPr>
          <w:rFonts w:hint="eastAsia" w:eastAsia="楷体_GB2312"/>
          <w:b/>
          <w:bCs/>
          <w:sz w:val="32"/>
          <w:szCs w:val="32"/>
          <w:highlight w:val="none"/>
        </w:rPr>
        <w:t>（五）满意度</w:t>
      </w:r>
    </w:p>
    <w:p w14:paraId="5C7C0990">
      <w:pP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满意度指标：</w:t>
      </w:r>
      <w:r>
        <w:rPr>
          <w:rFonts w:hint="eastAsia" w:ascii="仿宋_GB2312" w:hAnsi="仿宋_GB2312" w:eastAsia="仿宋_GB2312" w:cs="仿宋_GB2312"/>
          <w:sz w:val="32"/>
          <w:szCs w:val="32"/>
          <w:highlight w:val="none"/>
          <w:lang w:val="en-US" w:eastAsia="zh-CN"/>
        </w:rPr>
        <w:t>代表参与活动满意度，</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≥98%</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98%</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p>
    <w:p w14:paraId="1DDC16E8">
      <w:pPr>
        <w:spacing w:line="600" w:lineRule="exact"/>
        <w:ind w:firstLine="640" w:firstLineChars="200"/>
        <w:outlineLvl w:val="0"/>
        <w:rPr>
          <w:rFonts w:eastAsia="黑体"/>
          <w:sz w:val="32"/>
          <w:szCs w:val="32"/>
          <w:highlight w:val="none"/>
        </w:rPr>
      </w:pPr>
      <w:r>
        <w:rPr>
          <w:rFonts w:hint="eastAsia" w:eastAsia="黑体"/>
          <w:sz w:val="32"/>
          <w:szCs w:val="32"/>
          <w:highlight w:val="none"/>
        </w:rPr>
        <w:t>五、预算执行进度与绩效指标总体完成率偏差</w:t>
      </w:r>
    </w:p>
    <w:p w14:paraId="00CD9A8A">
      <w:pPr>
        <w:pStyle w:val="22"/>
        <w:spacing w:line="560" w:lineRule="exact"/>
        <w:ind w:firstLine="640"/>
        <w:rPr>
          <w:rFonts w:eastAsia="仿宋_GB2312"/>
          <w:kern w:val="2"/>
          <w:sz w:val="32"/>
          <w:szCs w:val="32"/>
          <w:highlight w:val="none"/>
        </w:rPr>
      </w:pPr>
      <w:r>
        <w:rPr>
          <w:rFonts w:hint="eastAsia" w:eastAsia="仿宋_GB2312"/>
          <w:kern w:val="2"/>
          <w:sz w:val="32"/>
          <w:szCs w:val="32"/>
          <w:highlight w:val="none"/>
          <w:lang w:val="en-US" w:eastAsia="zh-CN"/>
        </w:rPr>
        <w:t>基层人大补助</w:t>
      </w:r>
      <w:r>
        <w:rPr>
          <w:rFonts w:hint="eastAsia" w:eastAsia="仿宋_GB2312"/>
          <w:kern w:val="2"/>
          <w:sz w:val="32"/>
          <w:szCs w:val="32"/>
          <w:highlight w:val="none"/>
        </w:rPr>
        <w:t>项目年初预算</w:t>
      </w:r>
      <w:r>
        <w:rPr>
          <w:rFonts w:hint="eastAsia" w:eastAsia="仿宋_GB2312"/>
          <w:kern w:val="2"/>
          <w:sz w:val="32"/>
          <w:szCs w:val="32"/>
          <w:highlight w:val="none"/>
          <w:lang w:val="en-US" w:eastAsia="zh-CN"/>
        </w:rPr>
        <w:t>8</w:t>
      </w:r>
      <w:r>
        <w:rPr>
          <w:rFonts w:hint="eastAsia" w:eastAsia="仿宋_GB2312"/>
          <w:kern w:val="2"/>
          <w:sz w:val="32"/>
          <w:szCs w:val="32"/>
          <w:highlight w:val="none"/>
        </w:rPr>
        <w:t>万元，全年预算</w:t>
      </w:r>
      <w:r>
        <w:rPr>
          <w:rFonts w:hint="eastAsia" w:eastAsia="仿宋_GB2312"/>
          <w:kern w:val="2"/>
          <w:sz w:val="32"/>
          <w:szCs w:val="32"/>
          <w:highlight w:val="none"/>
          <w:lang w:val="en-US" w:eastAsia="zh-CN"/>
        </w:rPr>
        <w:t>8</w:t>
      </w:r>
      <w:r>
        <w:rPr>
          <w:rFonts w:hint="eastAsia" w:eastAsia="仿宋_GB2312"/>
          <w:kern w:val="2"/>
          <w:sz w:val="32"/>
          <w:szCs w:val="32"/>
          <w:highlight w:val="none"/>
        </w:rPr>
        <w:t>万元，实际支出</w:t>
      </w:r>
      <w:r>
        <w:rPr>
          <w:rFonts w:hint="eastAsia" w:eastAsia="仿宋_GB2312"/>
          <w:kern w:val="2"/>
          <w:sz w:val="32"/>
          <w:szCs w:val="32"/>
          <w:highlight w:val="none"/>
          <w:lang w:val="en-US" w:eastAsia="zh-CN"/>
        </w:rPr>
        <w:t>8</w:t>
      </w:r>
      <w:r>
        <w:rPr>
          <w:rFonts w:hint="eastAsia" w:eastAsia="仿宋_GB2312"/>
          <w:kern w:val="2"/>
          <w:sz w:val="32"/>
          <w:szCs w:val="32"/>
          <w:highlight w:val="none"/>
        </w:rPr>
        <w:t>万元，预算执行率为</w:t>
      </w:r>
      <w:r>
        <w:rPr>
          <w:rFonts w:hint="eastAsia" w:eastAsia="仿宋_GB2312"/>
          <w:kern w:val="2"/>
          <w:sz w:val="32"/>
          <w:szCs w:val="32"/>
          <w:highlight w:val="none"/>
          <w:lang w:val="en-US" w:eastAsia="zh-CN"/>
        </w:rPr>
        <w:t>100</w:t>
      </w:r>
      <w:r>
        <w:rPr>
          <w:rFonts w:hint="eastAsia" w:eastAsia="仿宋_GB2312"/>
          <w:kern w:val="2"/>
          <w:sz w:val="32"/>
          <w:szCs w:val="32"/>
          <w:highlight w:val="none"/>
        </w:rPr>
        <w:t>%，项目绩效指标总体完成率为</w:t>
      </w:r>
      <w:r>
        <w:rPr>
          <w:rFonts w:hint="eastAsia" w:eastAsia="仿宋_GB2312"/>
          <w:kern w:val="2"/>
          <w:sz w:val="32"/>
          <w:szCs w:val="32"/>
          <w:highlight w:val="none"/>
          <w:lang w:val="en-US" w:eastAsia="zh-CN"/>
        </w:rPr>
        <w:t>100</w:t>
      </w:r>
      <w:r>
        <w:rPr>
          <w:rFonts w:hint="eastAsia" w:eastAsia="仿宋_GB2312"/>
          <w:kern w:val="2"/>
          <w:sz w:val="32"/>
          <w:szCs w:val="32"/>
          <w:highlight w:val="none"/>
        </w:rPr>
        <w:t>%，总体偏差率为</w:t>
      </w:r>
      <w:r>
        <w:rPr>
          <w:rFonts w:hint="eastAsia" w:eastAsia="仿宋_GB2312"/>
          <w:kern w:val="2"/>
          <w:sz w:val="32"/>
          <w:szCs w:val="32"/>
          <w:highlight w:val="none"/>
          <w:lang w:val="en-US" w:eastAsia="zh-CN"/>
        </w:rPr>
        <w:t>0</w:t>
      </w:r>
      <w:r>
        <w:rPr>
          <w:rFonts w:hint="eastAsia" w:eastAsia="仿宋_GB2312"/>
          <w:kern w:val="2"/>
          <w:sz w:val="32"/>
          <w:szCs w:val="32"/>
          <w:highlight w:val="none"/>
        </w:rPr>
        <w:t>%,偏差原因</w:t>
      </w:r>
      <w:r>
        <w:rPr>
          <w:rFonts w:hint="eastAsia" w:eastAsia="仿宋_GB2312"/>
          <w:kern w:val="2"/>
          <w:sz w:val="32"/>
          <w:szCs w:val="32"/>
          <w:highlight w:val="none"/>
          <w:lang w:val="en-US" w:eastAsia="zh-CN"/>
        </w:rPr>
        <w:t>无</w:t>
      </w:r>
      <w:r>
        <w:rPr>
          <w:rFonts w:hint="eastAsia" w:eastAsia="仿宋_GB2312"/>
          <w:kern w:val="2"/>
          <w:sz w:val="32"/>
          <w:szCs w:val="32"/>
          <w:highlight w:val="none"/>
        </w:rPr>
        <w:t>。</w:t>
      </w:r>
    </w:p>
    <w:p w14:paraId="03566C44">
      <w:pPr>
        <w:spacing w:line="560" w:lineRule="exact"/>
        <w:ind w:firstLine="640" w:firstLineChars="200"/>
        <w:rPr>
          <w:rStyle w:val="21"/>
          <w:rFonts w:ascii="Times New Roman" w:hAnsi="Times New Roman" w:cs="Times New Roman"/>
          <w:color w:val="auto"/>
          <w:highlight w:val="none"/>
        </w:rPr>
      </w:pPr>
      <w:r>
        <w:rPr>
          <w:rFonts w:hint="eastAsia" w:eastAsia="黑体"/>
          <w:sz w:val="32"/>
          <w:szCs w:val="32"/>
          <w:highlight w:val="none"/>
        </w:rPr>
        <w:t>六</w:t>
      </w:r>
      <w:r>
        <w:rPr>
          <w:rFonts w:eastAsia="黑体"/>
          <w:sz w:val="32"/>
          <w:szCs w:val="32"/>
          <w:highlight w:val="none"/>
        </w:rPr>
        <w:t>、主要经验及做法、存在的问题及原因分析</w:t>
      </w:r>
    </w:p>
    <w:p w14:paraId="53160ACE">
      <w:pPr>
        <w:spacing w:line="560" w:lineRule="exact"/>
        <w:ind w:firstLine="627" w:firstLineChars="200"/>
        <w:rPr>
          <w:rFonts w:eastAsia="楷体"/>
          <w:b/>
          <w:spacing w:val="-4"/>
          <w:sz w:val="32"/>
          <w:szCs w:val="32"/>
          <w:highlight w:val="none"/>
        </w:rPr>
      </w:pPr>
      <w:r>
        <w:rPr>
          <w:rFonts w:eastAsia="楷体"/>
          <w:b/>
          <w:spacing w:val="-4"/>
          <w:sz w:val="32"/>
          <w:szCs w:val="32"/>
          <w:highlight w:val="none"/>
        </w:rPr>
        <w:t>（一）主要经验及做法</w:t>
      </w:r>
    </w:p>
    <w:p w14:paraId="4A081301">
      <w:pPr>
        <w:pageBreakBefore w:val="0"/>
        <w:kinsoku/>
        <w:wordWrap/>
        <w:overflowPunct/>
        <w:topLinePunct w:val="0"/>
        <w:autoSpaceDE/>
        <w:autoSpaceDN/>
        <w:bidi w:val="0"/>
        <w:adjustRightInd/>
        <w:snapToGrid/>
        <w:spacing w:line="600" w:lineRule="exact"/>
        <w:ind w:firstLine="640" w:firstLineChars="200"/>
        <w:textAlignment w:val="auto"/>
        <w:rPr>
          <w:rFonts w:eastAsia="仿宋_GB2312"/>
          <w:sz w:val="32"/>
          <w:szCs w:val="32"/>
          <w:highlight w:val="none"/>
        </w:rPr>
      </w:pPr>
      <w:r>
        <w:rPr>
          <w:rFonts w:eastAsia="仿宋_GB2312"/>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0A54D229">
      <w:pPr>
        <w:pStyle w:val="2"/>
        <w:pageBreakBefore w:val="0"/>
        <w:kinsoku/>
        <w:wordWrap/>
        <w:overflowPunct/>
        <w:topLinePunct w:val="0"/>
        <w:autoSpaceDE/>
        <w:autoSpaceDN/>
        <w:bidi w:val="0"/>
        <w:adjustRightInd/>
        <w:snapToGrid/>
        <w:spacing w:before="0" w:after="0" w:line="600" w:lineRule="exact"/>
        <w:ind w:left="0" w:leftChars="0" w:right="0" w:rightChars="0" w:firstLine="640" w:firstLineChars="200"/>
        <w:jc w:val="both"/>
        <w:textAlignment w:val="auto"/>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一是做好项目预算安排。根据下一年度的工作计划，提前预算，规范操作、严格控制开支范围，节约成本，提高效率。</w:t>
      </w:r>
    </w:p>
    <w:p w14:paraId="211EA264">
      <w:pPr>
        <w:pStyle w:val="2"/>
        <w:pageBreakBefore w:val="0"/>
        <w:kinsoku/>
        <w:wordWrap/>
        <w:overflowPunct/>
        <w:topLinePunct w:val="0"/>
        <w:autoSpaceDE/>
        <w:autoSpaceDN/>
        <w:bidi w:val="0"/>
        <w:adjustRightInd/>
        <w:snapToGrid/>
        <w:spacing w:before="0" w:after="0" w:line="600" w:lineRule="exact"/>
        <w:ind w:left="0" w:leftChars="0" w:right="0" w:rightChars="0" w:firstLine="640" w:firstLineChars="200"/>
        <w:jc w:val="both"/>
        <w:textAlignment w:val="auto"/>
        <w:rPr>
          <w:rFonts w:hint="default" w:ascii="仿宋_GB2312" w:hAnsi="仿宋_GB2312" w:eastAsia="仿宋_GB2312" w:cs="仿宋_GB2312"/>
          <w:b w:val="0"/>
          <w:bCs w:val="0"/>
          <w:kern w:val="2"/>
          <w:sz w:val="32"/>
          <w:szCs w:val="32"/>
          <w:highlight w:val="none"/>
          <w:lang w:val="en-US" w:eastAsia="zh-CN" w:bidi="ar-SA"/>
        </w:rPr>
      </w:pPr>
      <w:r>
        <w:rPr>
          <w:rFonts w:hint="default" w:ascii="仿宋_GB2312" w:hAnsi="仿宋_GB2312" w:eastAsia="仿宋_GB2312" w:cs="仿宋_GB2312"/>
          <w:b w:val="0"/>
          <w:bCs w:val="0"/>
          <w:kern w:val="2"/>
          <w:sz w:val="32"/>
          <w:szCs w:val="32"/>
          <w:highlight w:val="none"/>
          <w:lang w:val="en-US" w:eastAsia="zh-CN" w:bidi="ar-SA"/>
        </w:rPr>
        <w:t>二是通过加强监督检查，对资金的使用及配套情况有了进一步的了解，规范了专项资金的使用。</w:t>
      </w:r>
    </w:p>
    <w:p w14:paraId="370D67FE">
      <w:pPr>
        <w:pStyle w:val="11"/>
        <w:pageBreakBefore w:val="0"/>
        <w:kinsoku/>
        <w:wordWrap/>
        <w:overflowPunct/>
        <w:topLinePunct w:val="0"/>
        <w:autoSpaceDE/>
        <w:autoSpaceDN/>
        <w:bidi w:val="0"/>
        <w:adjustRightInd/>
        <w:snapToGrid/>
        <w:spacing w:before="0" w:after="0" w:line="600" w:lineRule="exact"/>
        <w:ind w:firstLine="640" w:firstLineChars="200"/>
        <w:jc w:val="left"/>
        <w:textAlignment w:val="auto"/>
        <w:rPr>
          <w:rFonts w:hint="eastAsia" w:ascii="仿宋_GB2312" w:hAnsi="仿宋_GB2312" w:eastAsia="仿宋_GB2312" w:cs="仿宋_GB2312"/>
          <w:b w:val="0"/>
          <w:bCs w:val="0"/>
          <w:kern w:val="2"/>
          <w:sz w:val="32"/>
          <w:szCs w:val="32"/>
          <w:highlight w:val="none"/>
          <w:lang w:val="en-US" w:eastAsia="zh-CN" w:bidi="ar-SA"/>
        </w:rPr>
      </w:pPr>
      <w:r>
        <w:rPr>
          <w:rFonts w:hint="default" w:ascii="仿宋_GB2312" w:hAnsi="仿宋_GB2312" w:eastAsia="仿宋_GB2312" w:cs="仿宋_GB2312"/>
          <w:b w:val="0"/>
          <w:bCs w:val="0"/>
          <w:kern w:val="2"/>
          <w:sz w:val="32"/>
          <w:szCs w:val="32"/>
          <w:highlight w:val="none"/>
          <w:lang w:val="en-US" w:eastAsia="zh-CN" w:bidi="ar-SA"/>
        </w:rPr>
        <w:t>三是强化台账管理。由各代表团团长担任联络室负责人，专门负责联络室的日常维护和管理，不断完善人大代表联络室的各项规章制度。同时，规范管理人大代表联络室的档案，在制定代表活动计划和工作流程，并严格按照计划开展工作，不断规范活动台账的管理，确保代表活动有记录、有痕迹。</w:t>
      </w:r>
    </w:p>
    <w:p w14:paraId="053465D6">
      <w:pPr>
        <w:keepNext/>
        <w:keepLines/>
        <w:numPr>
          <w:ilvl w:val="0"/>
          <w:numId w:val="6"/>
        </w:numPr>
        <w:spacing w:line="560" w:lineRule="exact"/>
        <w:ind w:firstLine="643" w:firstLineChars="200"/>
        <w:rPr>
          <w:rFonts w:eastAsia="楷体_GB2312"/>
          <w:b/>
          <w:bCs/>
          <w:sz w:val="32"/>
          <w:szCs w:val="32"/>
          <w:highlight w:val="none"/>
        </w:rPr>
      </w:pPr>
      <w:r>
        <w:rPr>
          <w:rFonts w:eastAsia="楷体_GB2312"/>
          <w:b/>
          <w:bCs/>
          <w:sz w:val="32"/>
          <w:szCs w:val="32"/>
          <w:highlight w:val="none"/>
        </w:rPr>
        <w:t>存在的问题及原因分析</w:t>
      </w:r>
    </w:p>
    <w:p w14:paraId="5C8CE93E">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1.相关绩效管理方面专业知识的系统性学习有待加强。各项指标的设置要进一步优化、完善，主要在细化、量化上改进。在绩效自评过程中，</w:t>
      </w:r>
      <w:r>
        <w:rPr>
          <w:rFonts w:hint="eastAsia" w:ascii="仿宋_GB2312" w:hAnsi="仿宋_GB2312" w:eastAsia="仿宋_GB2312" w:cs="仿宋_GB2312"/>
          <w:sz w:val="32"/>
          <w:szCs w:val="32"/>
          <w:highlight w:val="none"/>
          <w:lang w:val="en-US" w:eastAsia="zh-CN"/>
        </w:rPr>
        <w:t>由于部分人员</w:t>
      </w:r>
      <w:r>
        <w:rPr>
          <w:rFonts w:hint="eastAsia" w:ascii="仿宋_GB2312" w:hAnsi="仿宋_GB2312" w:eastAsia="仿宋_GB2312" w:cs="仿宋_GB2312"/>
          <w:sz w:val="32"/>
          <w:szCs w:val="32"/>
          <w:highlight w:val="none"/>
        </w:rPr>
        <w:t>缺乏相关绩效管理专业知识，自评价工作还存在自我审定的局限性，影响评价质量。</w:t>
      </w:r>
    </w:p>
    <w:p w14:paraId="54C48043">
      <w:pPr>
        <w:spacing w:line="60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基层人大代表联络室的</w:t>
      </w:r>
      <w:r>
        <w:rPr>
          <w:rFonts w:hint="default" w:ascii="仿宋_GB2312" w:hAnsi="仿宋_GB2312" w:eastAsia="仿宋_GB2312" w:cs="仿宋_GB2312"/>
          <w:sz w:val="32"/>
          <w:szCs w:val="32"/>
          <w:highlight w:val="none"/>
          <w:lang w:val="en-US" w:eastAsia="zh-CN"/>
        </w:rPr>
        <w:t>日常维护和管理</w:t>
      </w:r>
      <w:r>
        <w:rPr>
          <w:rFonts w:hint="eastAsia" w:ascii="仿宋_GB2312" w:hAnsi="仿宋_GB2312" w:eastAsia="仿宋_GB2312" w:cs="仿宋_GB2312"/>
          <w:sz w:val="32"/>
          <w:szCs w:val="32"/>
          <w:highlight w:val="none"/>
          <w:lang w:val="en-US" w:eastAsia="zh-CN"/>
        </w:rPr>
        <w:t>需要加强管理</w:t>
      </w:r>
      <w:r>
        <w:rPr>
          <w:rFonts w:hint="default" w:ascii="仿宋_GB2312" w:hAnsi="仿宋_GB2312" w:eastAsia="仿宋_GB2312" w:cs="仿宋_GB2312"/>
          <w:sz w:val="32"/>
          <w:szCs w:val="32"/>
          <w:highlight w:val="none"/>
          <w:lang w:val="en-US" w:eastAsia="zh-CN"/>
        </w:rPr>
        <w:t>。由各代表团团长担任联络室负责人，专门负责联络室的，不断完善人大代表联络室的各项规章制度。同时，规范管理人大代表联络室的档案，在制定代表活动计划和工作流程，并严格按照计划开展工作，不断规范活动台账的管理，确保代表活动有记录、有痕迹。</w:t>
      </w:r>
    </w:p>
    <w:p w14:paraId="3BA2A5B5">
      <w:pPr>
        <w:spacing w:line="560" w:lineRule="exact"/>
        <w:ind w:firstLine="640" w:firstLineChars="200"/>
        <w:rPr>
          <w:rFonts w:eastAsia="黑体"/>
          <w:sz w:val="32"/>
          <w:szCs w:val="32"/>
          <w:highlight w:val="none"/>
        </w:rPr>
      </w:pPr>
      <w:r>
        <w:rPr>
          <w:rFonts w:hint="eastAsia" w:eastAsia="黑体"/>
          <w:sz w:val="32"/>
          <w:szCs w:val="32"/>
          <w:highlight w:val="none"/>
        </w:rPr>
        <w:t>七、</w:t>
      </w:r>
      <w:r>
        <w:rPr>
          <w:rFonts w:eastAsia="黑体"/>
          <w:sz w:val="32"/>
          <w:szCs w:val="32"/>
          <w:highlight w:val="none"/>
        </w:rPr>
        <w:t>有关建议</w:t>
      </w:r>
    </w:p>
    <w:p w14:paraId="09750A35">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600" w:lineRule="exact"/>
        <w:ind w:left="0" w:leftChars="0" w:right="0" w:rightChars="0" w:firstLine="675"/>
        <w:jc w:val="left"/>
        <w:textAlignment w:val="auto"/>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一、</w:t>
      </w:r>
      <w:r>
        <w:rPr>
          <w:rFonts w:hint="default" w:ascii="仿宋_GB2312" w:hAnsi="仿宋_GB2312" w:eastAsia="仿宋_GB2312" w:cs="仿宋_GB2312"/>
          <w:kern w:val="2"/>
          <w:sz w:val="32"/>
          <w:szCs w:val="32"/>
          <w:highlight w:val="none"/>
          <w:lang w:val="en-US" w:eastAsia="zh-CN" w:bidi="ar-SA"/>
        </w:rPr>
        <w:t>增强部门绩效管理意识，认真落实主体责任</w:t>
      </w:r>
    </w:p>
    <w:p w14:paraId="7B414FFD">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600" w:lineRule="exact"/>
        <w:ind w:left="0" w:leftChars="0" w:right="0" w:rightChars="0" w:firstLine="675"/>
        <w:jc w:val="left"/>
        <w:textAlignment w:val="auto"/>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（一）</w:t>
      </w:r>
      <w:r>
        <w:rPr>
          <w:rFonts w:hint="default" w:ascii="仿宋_GB2312" w:hAnsi="仿宋_GB2312" w:eastAsia="仿宋_GB2312" w:cs="仿宋_GB2312"/>
          <w:kern w:val="2"/>
          <w:sz w:val="32"/>
          <w:szCs w:val="32"/>
          <w:highlight w:val="none"/>
          <w:lang w:val="en-US" w:eastAsia="zh-CN" w:bidi="ar-SA"/>
        </w:rPr>
        <w:t>加强绩效目标管理工作</w:t>
      </w:r>
    </w:p>
    <w:p w14:paraId="7C386807">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600" w:lineRule="exact"/>
        <w:ind w:left="0" w:leftChars="0" w:right="0" w:rightChars="0" w:firstLine="675"/>
        <w:jc w:val="left"/>
        <w:textAlignment w:val="auto"/>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r>
        <w:rPr>
          <w:rFonts w:hint="default" w:ascii="仿宋_GB2312" w:hAnsi="仿宋_GB2312" w:eastAsia="仿宋_GB2312" w:cs="仿宋_GB2312"/>
          <w:kern w:val="2"/>
          <w:sz w:val="32"/>
          <w:szCs w:val="32"/>
          <w:highlight w:val="none"/>
          <w:lang w:val="en-US" w:eastAsia="zh-CN" w:bidi="ar-SA"/>
        </w:rPr>
        <w:t>加强预算绩效目标管理，编制完整、量化可考核的绩效指标</w:t>
      </w:r>
      <w:r>
        <w:rPr>
          <w:rFonts w:hint="eastAsia" w:ascii="仿宋_GB2312" w:hAnsi="仿宋_GB2312" w:eastAsia="仿宋_GB2312" w:cs="仿宋_GB2312"/>
          <w:kern w:val="2"/>
          <w:sz w:val="32"/>
          <w:szCs w:val="32"/>
          <w:highlight w:val="none"/>
          <w:lang w:val="en-US" w:eastAsia="zh-CN" w:bidi="ar-SA"/>
        </w:rPr>
        <w:t>。</w:t>
      </w:r>
      <w:r>
        <w:rPr>
          <w:rFonts w:hint="default" w:ascii="仿宋_GB2312" w:hAnsi="仿宋_GB2312" w:eastAsia="仿宋_GB2312" w:cs="仿宋_GB2312"/>
          <w:kern w:val="2"/>
          <w:sz w:val="32"/>
          <w:szCs w:val="32"/>
          <w:highlight w:val="none"/>
          <w:lang w:val="en-US" w:eastAsia="zh-CN" w:bidi="ar-SA"/>
        </w:rPr>
        <w:t>一是编制完善的年度绩效目标。项目年度绩效目标应根据对应的年度重点工作进行设置，与项目年度实施内容预期产出及效果相关，全面完整反映项目的预期产出和效果。二是编制完整、量化可考核的绩效指标。根据编制的绩效目标梳理绩效指标，对绩效目标进行细化、分解，全面完整反映绩效目标；规范绩效指标的填写，严格按照绩效指标编制的相关要求，正确编制绩效指标名称、指标值、度量单位等，同时明确绩效指标值，具有考核性、可衡量性。</w:t>
      </w:r>
    </w:p>
    <w:p w14:paraId="45D713D1">
      <w:pPr>
        <w:pStyle w:val="10"/>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600" w:lineRule="exact"/>
        <w:ind w:left="0" w:leftChars="0" w:right="0" w:rightChars="0" w:firstLine="675" w:firstLineChars="0"/>
        <w:jc w:val="left"/>
        <w:textAlignment w:val="auto"/>
        <w:outlineLvl w:val="9"/>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r>
        <w:rPr>
          <w:rFonts w:hint="default" w:ascii="仿宋_GB2312" w:hAnsi="仿宋_GB2312" w:eastAsia="仿宋_GB2312" w:cs="仿宋_GB2312"/>
          <w:kern w:val="2"/>
          <w:sz w:val="32"/>
          <w:szCs w:val="32"/>
          <w:highlight w:val="none"/>
          <w:lang w:val="en-US" w:eastAsia="zh-CN" w:bidi="ar-SA"/>
        </w:rPr>
        <w:t>加强绩效目标基础管理工作</w:t>
      </w:r>
      <w:r>
        <w:rPr>
          <w:rFonts w:hint="eastAsia" w:ascii="仿宋_GB2312" w:hAnsi="仿宋_GB2312" w:eastAsia="仿宋_GB2312" w:cs="仿宋_GB2312"/>
          <w:kern w:val="2"/>
          <w:sz w:val="32"/>
          <w:szCs w:val="32"/>
          <w:highlight w:val="none"/>
          <w:lang w:val="en-US" w:eastAsia="zh-CN" w:bidi="ar-SA"/>
        </w:rPr>
        <w:t>。</w:t>
      </w:r>
      <w:r>
        <w:rPr>
          <w:rFonts w:hint="default" w:ascii="仿宋_GB2312" w:hAnsi="仿宋_GB2312" w:eastAsia="仿宋_GB2312" w:cs="仿宋_GB2312"/>
          <w:kern w:val="2"/>
          <w:sz w:val="32"/>
          <w:szCs w:val="32"/>
          <w:highlight w:val="none"/>
          <w:lang w:val="en-US" w:eastAsia="zh-CN" w:bidi="ar-SA"/>
        </w:rPr>
        <w:t>一是建议部门建立完善的绩效目标审核机制，每年预算申报前按照财政预算编制要求对制定的绩效目标进行审核，对于绩效目标不符合要求的及时修改、完善，并将绩效目标作为部门项目遴选排序、安排部门预算申报资金的重要依据。二是提高绩效目标编制人员水平。对编制绩效目标的人员进行培训，明确编制绩效目标审核的要求，并提供绩效目标编制模板，加深编制人员对绩效目标的理解，掌握编制方法，规范填写绩效目标、绩效指标、指标值、度量单位、指标类型等，切实提高绩效目标编制水平。</w:t>
      </w:r>
    </w:p>
    <w:p w14:paraId="266DE152">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600" w:lineRule="exact"/>
        <w:ind w:left="0" w:right="0" w:firstLine="675"/>
        <w:jc w:val="left"/>
        <w:textAlignment w:val="auto"/>
        <w:rPr>
          <w:rFonts w:hint="default" w:ascii="仿宋_GB2312" w:hAnsi="仿宋_GB2312" w:eastAsia="仿宋_GB2312" w:cs="仿宋_GB2312"/>
          <w:kern w:val="2"/>
          <w:sz w:val="32"/>
          <w:szCs w:val="32"/>
          <w:highlight w:val="none"/>
          <w:lang w:val="en-US" w:eastAsia="zh-CN" w:bidi="ar-SA"/>
        </w:rPr>
      </w:pPr>
      <w:r>
        <w:rPr>
          <w:rFonts w:hint="default" w:ascii="仿宋_GB2312" w:hAnsi="仿宋_GB2312" w:eastAsia="仿宋_GB2312" w:cs="仿宋_GB2312"/>
          <w:kern w:val="2"/>
          <w:sz w:val="32"/>
          <w:szCs w:val="32"/>
          <w:highlight w:val="none"/>
          <w:lang w:val="en-US" w:eastAsia="zh-CN" w:bidi="ar-SA"/>
        </w:rPr>
        <w:t>二</w:t>
      </w:r>
      <w:r>
        <w:rPr>
          <w:rFonts w:hint="eastAsia" w:ascii="仿宋_GB2312" w:hAnsi="仿宋_GB2312" w:eastAsia="仿宋_GB2312" w:cs="仿宋_GB2312"/>
          <w:kern w:val="2"/>
          <w:sz w:val="32"/>
          <w:szCs w:val="32"/>
          <w:highlight w:val="none"/>
          <w:lang w:val="en-US" w:eastAsia="zh-CN" w:bidi="ar-SA"/>
        </w:rPr>
        <w:t>、</w:t>
      </w:r>
      <w:r>
        <w:rPr>
          <w:rFonts w:hint="default" w:ascii="仿宋_GB2312" w:hAnsi="仿宋_GB2312" w:eastAsia="仿宋_GB2312" w:cs="仿宋_GB2312"/>
          <w:kern w:val="2"/>
          <w:sz w:val="32"/>
          <w:szCs w:val="32"/>
          <w:highlight w:val="none"/>
          <w:lang w:val="en-US" w:eastAsia="zh-CN" w:bidi="ar-SA"/>
        </w:rPr>
        <w:t>加强前期调查摸底工作，按照实际情况下达任务</w:t>
      </w:r>
    </w:p>
    <w:p w14:paraId="34A50442">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kern w:val="2"/>
          <w:sz w:val="32"/>
          <w:szCs w:val="32"/>
          <w:highlight w:val="none"/>
          <w:lang w:val="en-US" w:eastAsia="zh-CN" w:bidi="ar-SA"/>
        </w:rPr>
      </w:pPr>
      <w:r>
        <w:rPr>
          <w:rFonts w:hint="default" w:ascii="仿宋_GB2312" w:hAnsi="仿宋_GB2312" w:eastAsia="仿宋_GB2312" w:cs="仿宋_GB2312"/>
          <w:kern w:val="2"/>
          <w:sz w:val="32"/>
          <w:szCs w:val="32"/>
          <w:highlight w:val="none"/>
          <w:lang w:val="en-US" w:eastAsia="zh-CN" w:bidi="ar-SA"/>
        </w:rPr>
        <w:t>加强前期调查摸底工作，补助前由县人大进行摸底调查，</w:t>
      </w:r>
      <w:r>
        <w:rPr>
          <w:rFonts w:hint="eastAsia" w:ascii="仿宋_GB2312" w:hAnsi="仿宋_GB2312" w:eastAsia="仿宋_GB2312" w:cs="仿宋_GB2312"/>
          <w:kern w:val="2"/>
          <w:sz w:val="32"/>
          <w:szCs w:val="32"/>
          <w:highlight w:val="none"/>
          <w:lang w:val="en-US" w:eastAsia="zh-CN" w:bidi="ar-SA"/>
        </w:rPr>
        <w:t>县</w:t>
      </w:r>
      <w:r>
        <w:rPr>
          <w:rFonts w:hint="default" w:ascii="仿宋_GB2312" w:hAnsi="仿宋_GB2312" w:eastAsia="仿宋_GB2312" w:cs="仿宋_GB2312"/>
          <w:kern w:val="2"/>
          <w:sz w:val="32"/>
          <w:szCs w:val="32"/>
          <w:highlight w:val="none"/>
          <w:lang w:val="en-US" w:eastAsia="zh-CN" w:bidi="ar-SA"/>
        </w:rPr>
        <w:t>人大常委会办公室汇总各</w:t>
      </w:r>
      <w:r>
        <w:rPr>
          <w:rFonts w:hint="eastAsia" w:ascii="仿宋_GB2312" w:hAnsi="仿宋_GB2312" w:eastAsia="仿宋_GB2312" w:cs="仿宋_GB2312"/>
          <w:kern w:val="2"/>
          <w:sz w:val="32"/>
          <w:szCs w:val="32"/>
          <w:highlight w:val="none"/>
          <w:lang w:val="en-US" w:eastAsia="zh-CN" w:bidi="ar-SA"/>
        </w:rPr>
        <w:t>乡镇场</w:t>
      </w:r>
      <w:r>
        <w:rPr>
          <w:rFonts w:hint="default" w:ascii="仿宋_GB2312" w:hAnsi="仿宋_GB2312" w:eastAsia="仿宋_GB2312" w:cs="仿宋_GB2312"/>
          <w:kern w:val="2"/>
          <w:sz w:val="32"/>
          <w:szCs w:val="32"/>
          <w:highlight w:val="none"/>
          <w:lang w:val="en-US" w:eastAsia="zh-CN" w:bidi="ar-SA"/>
        </w:rPr>
        <w:t>摸底调查情况，进行审核后再下达任务。各</w:t>
      </w:r>
      <w:r>
        <w:rPr>
          <w:rFonts w:hint="eastAsia" w:ascii="仿宋_GB2312" w:hAnsi="仿宋_GB2312" w:eastAsia="仿宋_GB2312" w:cs="仿宋_GB2312"/>
          <w:kern w:val="2"/>
          <w:sz w:val="32"/>
          <w:szCs w:val="32"/>
          <w:highlight w:val="none"/>
          <w:lang w:val="en-US" w:eastAsia="zh-CN" w:bidi="ar-SA"/>
        </w:rPr>
        <w:t>乡镇场</w:t>
      </w:r>
      <w:r>
        <w:rPr>
          <w:rFonts w:hint="default" w:ascii="仿宋_GB2312" w:hAnsi="仿宋_GB2312" w:eastAsia="仿宋_GB2312" w:cs="仿宋_GB2312"/>
          <w:kern w:val="2"/>
          <w:sz w:val="32"/>
          <w:szCs w:val="32"/>
          <w:highlight w:val="none"/>
          <w:lang w:val="en-US" w:eastAsia="zh-CN" w:bidi="ar-SA"/>
        </w:rPr>
        <w:t>根据</w:t>
      </w:r>
      <w:r>
        <w:rPr>
          <w:rFonts w:hint="eastAsia" w:ascii="仿宋_GB2312" w:hAnsi="仿宋_GB2312" w:eastAsia="仿宋_GB2312" w:cs="仿宋_GB2312"/>
          <w:kern w:val="2"/>
          <w:sz w:val="32"/>
          <w:szCs w:val="32"/>
          <w:highlight w:val="none"/>
          <w:lang w:val="en-US" w:eastAsia="zh-CN" w:bidi="ar-SA"/>
        </w:rPr>
        <w:t>县</w:t>
      </w:r>
      <w:r>
        <w:rPr>
          <w:rFonts w:hint="default" w:ascii="仿宋_GB2312" w:hAnsi="仿宋_GB2312" w:eastAsia="仿宋_GB2312" w:cs="仿宋_GB2312"/>
          <w:kern w:val="2"/>
          <w:sz w:val="32"/>
          <w:szCs w:val="32"/>
          <w:highlight w:val="none"/>
          <w:lang w:val="en-US" w:eastAsia="zh-CN" w:bidi="ar-SA"/>
        </w:rPr>
        <w:t>级下达任务，积极开展基层“</w:t>
      </w:r>
      <w:r>
        <w:rPr>
          <w:rFonts w:hint="eastAsia" w:ascii="仿宋_GB2312" w:hAnsi="仿宋_GB2312" w:eastAsia="仿宋_GB2312" w:cs="仿宋_GB2312"/>
          <w:kern w:val="2"/>
          <w:sz w:val="32"/>
          <w:szCs w:val="32"/>
          <w:highlight w:val="none"/>
          <w:lang w:val="en-US" w:eastAsia="zh-CN" w:bidi="ar-SA"/>
        </w:rPr>
        <w:t>基层</w:t>
      </w:r>
      <w:r>
        <w:rPr>
          <w:rFonts w:hint="default" w:ascii="仿宋_GB2312" w:hAnsi="仿宋_GB2312" w:eastAsia="仿宋_GB2312" w:cs="仿宋_GB2312"/>
          <w:kern w:val="2"/>
          <w:sz w:val="32"/>
          <w:szCs w:val="32"/>
          <w:highlight w:val="none"/>
          <w:lang w:val="en-US" w:eastAsia="zh-CN" w:bidi="ar-SA"/>
        </w:rPr>
        <w:t>人大代表联络室”补助工</w:t>
      </w:r>
      <w:bookmarkStart w:id="3" w:name="_GoBack"/>
      <w:bookmarkEnd w:id="3"/>
      <w:r>
        <w:rPr>
          <w:rFonts w:hint="default" w:ascii="仿宋_GB2312" w:hAnsi="仿宋_GB2312" w:eastAsia="仿宋_GB2312" w:cs="仿宋_GB2312"/>
          <w:kern w:val="2"/>
          <w:sz w:val="32"/>
          <w:szCs w:val="32"/>
          <w:highlight w:val="none"/>
          <w:lang w:val="en-US" w:eastAsia="zh-CN" w:bidi="ar-SA"/>
        </w:rPr>
        <w:t>作，确保按时、按计划完成补助任务。</w:t>
      </w:r>
    </w:p>
    <w:p w14:paraId="4CD3E908">
      <w:pPr>
        <w:spacing w:line="560" w:lineRule="exact"/>
        <w:ind w:firstLine="640" w:firstLineChars="200"/>
        <w:rPr>
          <w:rFonts w:eastAsia="黑体"/>
          <w:sz w:val="32"/>
          <w:szCs w:val="32"/>
          <w:highlight w:val="none"/>
        </w:rPr>
      </w:pPr>
      <w:r>
        <w:rPr>
          <w:rFonts w:hint="eastAsia" w:eastAsia="黑体"/>
          <w:sz w:val="32"/>
          <w:szCs w:val="32"/>
          <w:highlight w:val="none"/>
        </w:rPr>
        <w:t>八、</w:t>
      </w:r>
      <w:r>
        <w:rPr>
          <w:rFonts w:eastAsia="黑体"/>
          <w:sz w:val="32"/>
          <w:szCs w:val="32"/>
          <w:highlight w:val="none"/>
        </w:rPr>
        <w:t>其他需要说</w:t>
      </w:r>
      <w:bookmarkStart w:id="2" w:name="page8"/>
      <w:bookmarkEnd w:id="2"/>
      <w:r>
        <w:rPr>
          <w:rFonts w:eastAsia="黑体"/>
          <w:sz w:val="32"/>
          <w:szCs w:val="32"/>
          <w:highlight w:val="none"/>
        </w:rPr>
        <w:t>明的问题</w:t>
      </w:r>
    </w:p>
    <w:p w14:paraId="1F814C37">
      <w:pPr>
        <w:pStyle w:val="13"/>
        <w:spacing w:after="0" w:line="560" w:lineRule="exact"/>
        <w:ind w:left="0" w:leftChars="0"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本项目无其他需说明的问题。</w:t>
      </w:r>
    </w:p>
    <w:p w14:paraId="66E1E1A4">
      <w:pPr>
        <w:rPr>
          <w:highlight w:val="none"/>
        </w:rPr>
      </w:pPr>
    </w:p>
    <w:sectPr>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CE06D99-D3D7-4D41-9378-C2E1ACE7C29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BF2B6D21-91D2-4CBA-B480-BF9021B63438}"/>
  </w:font>
  <w:font w:name="华文中宋">
    <w:panose1 w:val="02010600040101010101"/>
    <w:charset w:val="86"/>
    <w:family w:val="auto"/>
    <w:pitch w:val="default"/>
    <w:sig w:usb0="00000287" w:usb1="080F0000" w:usb2="00000000" w:usb3="00000000" w:csb0="0004009F" w:csb1="DFD70000"/>
    <w:embedRegular r:id="rId3" w:fontKey="{C3DEEC0F-6EC4-4833-BC11-CD57CC1B7FC1}"/>
  </w:font>
  <w:font w:name="方正小标宋简体">
    <w:panose1 w:val="03000509000000000000"/>
    <w:charset w:val="86"/>
    <w:family w:val="auto"/>
    <w:pitch w:val="default"/>
    <w:sig w:usb0="00000001" w:usb1="080E0000" w:usb2="00000000" w:usb3="00000000" w:csb0="00040000" w:csb1="00000000"/>
    <w:embedRegular r:id="rId4" w:fontKey="{93D65488-174F-483A-9C4F-3054C175F8D2}"/>
  </w:font>
  <w:font w:name="方正小标宋_GBK">
    <w:panose1 w:val="02000000000000000000"/>
    <w:charset w:val="86"/>
    <w:family w:val="script"/>
    <w:pitch w:val="default"/>
    <w:sig w:usb0="A00002BF" w:usb1="38CF7CFA" w:usb2="00082016" w:usb3="00000000" w:csb0="00040001" w:csb1="00000000"/>
    <w:embedRegular r:id="rId5" w:fontKey="{30C531E2-5849-4190-8D38-21FCF354C71E}"/>
  </w:font>
  <w:font w:name="楷体_GB2312">
    <w:panose1 w:val="02010609030101010101"/>
    <w:charset w:val="86"/>
    <w:family w:val="auto"/>
    <w:pitch w:val="default"/>
    <w:sig w:usb0="00000001" w:usb1="080E0000" w:usb2="00000000" w:usb3="00000000" w:csb0="00040000" w:csb1="00000000"/>
    <w:embedRegular r:id="rId6" w:fontKey="{0C872FA0-5768-44B3-8A4B-15728DDABC23}"/>
  </w:font>
  <w:font w:name="方正仿宋_GBK">
    <w:panose1 w:val="02000000000000000000"/>
    <w:charset w:val="86"/>
    <w:family w:val="auto"/>
    <w:pitch w:val="default"/>
    <w:sig w:usb0="A00002BF" w:usb1="38CF7CFA" w:usb2="00082016" w:usb3="00000000" w:csb0="00040001" w:csb1="00000000"/>
    <w:embedRegular r:id="rId7" w:fontKey="{AC5D5213-87EF-4C5D-9FF3-096F5908B6A0}"/>
  </w:font>
  <w:font w:name="楷体">
    <w:panose1 w:val="02010609060101010101"/>
    <w:charset w:val="86"/>
    <w:family w:val="modern"/>
    <w:pitch w:val="default"/>
    <w:sig w:usb0="800002BF" w:usb1="38CF7CFA" w:usb2="00000016" w:usb3="00000000" w:csb0="00040001" w:csb1="00000000"/>
    <w:embedRegular r:id="rId8" w:fontKey="{9DF50B01-B501-432D-BB87-BC4264D7808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58DA62A">
        <w:pPr>
          <w:pStyle w:val="7"/>
          <w:jc w:val="center"/>
        </w:pPr>
        <w:r>
          <w:fldChar w:fldCharType="begin"/>
        </w:r>
        <w:r>
          <w:instrText xml:space="preserve">PAGE   \* MERGEFORMAT</w:instrText>
        </w:r>
        <w:r>
          <w:fldChar w:fldCharType="separate"/>
        </w:r>
        <w:r>
          <w:rPr>
            <w:lang w:val="zh-CN"/>
          </w:rPr>
          <w:t>13</w:t>
        </w:r>
        <w:r>
          <w:fldChar w:fldCharType="end"/>
        </w:r>
      </w:p>
    </w:sdtContent>
  </w:sdt>
  <w:p w14:paraId="2CD479D8">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05B371"/>
    <w:multiLevelType w:val="singleLevel"/>
    <w:tmpl w:val="8705B371"/>
    <w:lvl w:ilvl="0" w:tentative="0">
      <w:start w:val="2"/>
      <w:numFmt w:val="decimal"/>
      <w:suff w:val="nothing"/>
      <w:lvlText w:val="%1、"/>
      <w:lvlJc w:val="left"/>
    </w:lvl>
  </w:abstractNum>
  <w:abstractNum w:abstractNumId="1">
    <w:nsid w:val="0A518E3F"/>
    <w:multiLevelType w:val="singleLevel"/>
    <w:tmpl w:val="0A518E3F"/>
    <w:lvl w:ilvl="0" w:tentative="0">
      <w:start w:val="2"/>
      <w:numFmt w:val="chineseCounting"/>
      <w:suff w:val="nothing"/>
      <w:lvlText w:val="（%1）"/>
      <w:lvlJc w:val="left"/>
      <w:rPr>
        <w:rFonts w:hint="eastAsia"/>
      </w:rPr>
    </w:lvl>
  </w:abstractNum>
  <w:abstractNum w:abstractNumId="2">
    <w:nsid w:val="33D43DD8"/>
    <w:multiLevelType w:val="singleLevel"/>
    <w:tmpl w:val="33D43DD8"/>
    <w:lvl w:ilvl="0" w:tentative="0">
      <w:start w:val="3"/>
      <w:numFmt w:val="chineseCounting"/>
      <w:suff w:val="nothing"/>
      <w:lvlText w:val="（%1）"/>
      <w:lvlJc w:val="left"/>
      <w:rPr>
        <w:rFonts w:hint="eastAsia"/>
      </w:rPr>
    </w:lvl>
  </w:abstractNum>
  <w:abstractNum w:abstractNumId="3">
    <w:nsid w:val="49C0DF09"/>
    <w:multiLevelType w:val="singleLevel"/>
    <w:tmpl w:val="49C0DF09"/>
    <w:lvl w:ilvl="0" w:tentative="0">
      <w:start w:val="2"/>
      <w:numFmt w:val="chineseCounting"/>
      <w:suff w:val="nothing"/>
      <w:lvlText w:val="（%1）"/>
      <w:lvlJc w:val="left"/>
      <w:rPr>
        <w:rFonts w:hint="eastAsia"/>
      </w:rPr>
    </w:lvl>
  </w:abstractNum>
  <w:abstractNum w:abstractNumId="4">
    <w:nsid w:val="5189D3A7"/>
    <w:multiLevelType w:val="singleLevel"/>
    <w:tmpl w:val="5189D3A7"/>
    <w:lvl w:ilvl="0" w:tentative="0">
      <w:start w:val="3"/>
      <w:numFmt w:val="chineseCounting"/>
      <w:suff w:val="nothing"/>
      <w:lvlText w:val="%1、"/>
      <w:lvlJc w:val="left"/>
      <w:rPr>
        <w:rFonts w:hint="eastAsia"/>
      </w:rPr>
    </w:lvl>
  </w:abstractNum>
  <w:abstractNum w:abstractNumId="5">
    <w:nsid w:val="71EDC151"/>
    <w:multiLevelType w:val="singleLevel"/>
    <w:tmpl w:val="71EDC151"/>
    <w:lvl w:ilvl="0" w:tentative="0">
      <w:start w:val="1"/>
      <w:numFmt w:val="decimal"/>
      <w:suff w:val="nothing"/>
      <w:lvlText w:val="（%1）"/>
      <w:lvlJc w:val="left"/>
    </w:lvl>
  </w:abstractNum>
  <w:num w:numId="1">
    <w:abstractNumId w:val="0"/>
  </w:num>
  <w:num w:numId="2">
    <w:abstractNumId w:val="5"/>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5C1C134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3"/>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9">
    <w:name w:val="footnote text"/>
    <w:basedOn w:val="1"/>
    <w:semiHidden/>
    <w:unhideWhenUsed/>
    <w:qFormat/>
    <w:uiPriority w:val="99"/>
    <w:pPr>
      <w:snapToGrid w:val="0"/>
      <w:jc w:val="left"/>
    </w:pPr>
    <w:rPr>
      <w:sz w:val="18"/>
      <w:szCs w:val="18"/>
    </w:rPr>
  </w:style>
  <w:style w:type="paragraph" w:styleId="10">
    <w:name w:val="Normal (Web)"/>
    <w:basedOn w:val="1"/>
    <w:semiHidden/>
    <w:unhideWhenUsed/>
    <w:qFormat/>
    <w:uiPriority w:val="99"/>
    <w:pPr>
      <w:spacing w:before="100" w:beforeAutospacing="1" w:after="100" w:afterAutospacing="1"/>
      <w:ind w:left="0" w:right="0"/>
      <w:jc w:val="left"/>
    </w:pPr>
    <w:rPr>
      <w:kern w:val="0"/>
      <w:sz w:val="24"/>
      <w:lang w:val="en-US" w:eastAsia="zh-CN"/>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table" w:styleId="15">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basedOn w:val="16"/>
    <w:qFormat/>
    <w:uiPriority w:val="0"/>
    <w:rPr>
      <w:b/>
      <w:bCs/>
    </w:rPr>
  </w:style>
  <w:style w:type="paragraph" w:customStyle="1" w:styleId="18">
    <w:name w:val="Comment Text"/>
    <w:basedOn w:val="1"/>
    <w:link w:val="25"/>
    <w:qFormat/>
    <w:uiPriority w:val="0"/>
    <w:pPr>
      <w:jc w:val="left"/>
    </w:pPr>
  </w:style>
  <w:style w:type="paragraph" w:customStyle="1" w:styleId="19">
    <w:name w:val="Comment Subject"/>
    <w:basedOn w:val="18"/>
    <w:next w:val="18"/>
    <w:link w:val="26"/>
    <w:qFormat/>
    <w:uiPriority w:val="0"/>
    <w:rPr>
      <w:b/>
      <w:bCs/>
    </w:rPr>
  </w:style>
  <w:style w:type="character" w:customStyle="1" w:styleId="20">
    <w:name w:val="Comment Reference"/>
    <w:basedOn w:val="16"/>
    <w:qFormat/>
    <w:uiPriority w:val="0"/>
    <w:rPr>
      <w:sz w:val="21"/>
      <w:szCs w:val="21"/>
    </w:rPr>
  </w:style>
  <w:style w:type="character" w:customStyle="1" w:styleId="21">
    <w:name w:val="fontstyle01"/>
    <w:qFormat/>
    <w:uiPriority w:val="0"/>
    <w:rPr>
      <w:rFonts w:ascii="仿宋_GB2312" w:hAnsi="仿宋_GB2312" w:eastAsia="仿宋_GB2312" w:cs="仿宋_GB2312"/>
      <w:color w:val="000000"/>
      <w:sz w:val="32"/>
      <w:szCs w:val="32"/>
    </w:rPr>
  </w:style>
  <w:style w:type="paragraph" w:customStyle="1" w:styleId="22">
    <w:name w:val="闻政-正文段落文字"/>
    <w:basedOn w:val="1"/>
    <w:qFormat/>
    <w:uiPriority w:val="3"/>
    <w:pPr>
      <w:spacing w:line="500" w:lineRule="exact"/>
      <w:ind w:firstLine="200"/>
    </w:pPr>
    <w:rPr>
      <w:kern w:val="0"/>
      <w:szCs w:val="28"/>
    </w:rPr>
  </w:style>
  <w:style w:type="character" w:customStyle="1" w:styleId="23">
    <w:name w:val="批注框文本 字符"/>
    <w:basedOn w:val="16"/>
    <w:link w:val="6"/>
    <w:qFormat/>
    <w:uiPriority w:val="0"/>
    <w:rPr>
      <w:rFonts w:ascii="Times New Roman" w:hAnsi="Times New Roman" w:eastAsia="宋体" w:cs="Times New Roman"/>
      <w:kern w:val="2"/>
      <w:sz w:val="18"/>
      <w:szCs w:val="18"/>
    </w:rPr>
  </w:style>
  <w:style w:type="character" w:customStyle="1" w:styleId="24">
    <w:name w:val="页眉 字符"/>
    <w:basedOn w:val="16"/>
    <w:link w:val="8"/>
    <w:qFormat/>
    <w:uiPriority w:val="0"/>
    <w:rPr>
      <w:rFonts w:ascii="Times New Roman" w:hAnsi="Times New Roman" w:eastAsia="宋体" w:cs="Times New Roman"/>
      <w:kern w:val="2"/>
      <w:sz w:val="18"/>
      <w:szCs w:val="18"/>
    </w:rPr>
  </w:style>
  <w:style w:type="character" w:customStyle="1" w:styleId="25">
    <w:name w:val="批注文字 字符"/>
    <w:basedOn w:val="16"/>
    <w:link w:val="18"/>
    <w:qFormat/>
    <w:uiPriority w:val="0"/>
    <w:rPr>
      <w:rFonts w:ascii="Times New Roman" w:hAnsi="Times New Roman" w:eastAsia="宋体" w:cs="Times New Roman"/>
      <w:kern w:val="2"/>
      <w:sz w:val="21"/>
      <w:szCs w:val="24"/>
    </w:rPr>
  </w:style>
  <w:style w:type="character" w:customStyle="1" w:styleId="26">
    <w:name w:val="批注主题 字符"/>
    <w:basedOn w:val="25"/>
    <w:link w:val="19"/>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9D21F16A391E4B038C65F20572E0D32A_13</vt:lpwstr>
  </property>
  <property fmtid="{D5CDD505-2E9C-101B-9397-08002B2CF9AE}" pid="4" name="KSOTemplateDocerSaveRecord">
    <vt:lpwstr>eyJoZGlkIjoiMTk4ZjMzZTkxMDUzOWUwYzQ4OTViM2UwODBmYmY3N2QifQ==</vt:lpwstr>
  </property>
</Properties>
</file>

<file path=customXml/itemProps1.xml><?xml version="1.0" encoding="utf-8"?>
<ds:datastoreItem xmlns:ds="http://schemas.openxmlformats.org/officeDocument/2006/customXml" ds:itemID="{c0e40ef1-1480-451c-8954-33048d3db2a2}">
  <ds:schemaRefs/>
</ds:datastoreItem>
</file>

<file path=docProps/app.xml><?xml version="1.0" encoding="utf-8"?>
<Properties xmlns="http://schemas.openxmlformats.org/officeDocument/2006/extended-properties" xmlns:vt="http://schemas.openxmlformats.org/officeDocument/2006/docPropsVTypes">
  <Template>Normal</Template>
  <Pages>22</Pages>
  <Words>7181</Words>
  <Characters>7314</Characters>
  <Lines>66</Lines>
  <Paragraphs>18</Paragraphs>
  <TotalTime>1</TotalTime>
  <ScaleCrop>false</ScaleCrop>
  <LinksUpToDate>false</LinksUpToDate>
  <CharactersWithSpaces>7320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2024-04-07T04:28:00Z</dcterms:created>
  <dc:creator>审核人</dc:creator>
  <cp:lastModifiedBy>雨。</cp:lastModifiedBy>
  <dcterms:modified xsi:type="dcterms:W3CDTF">2025-11-13T05:39:46Z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9D21F16A391E4B038C65F20572E0D32A_13</vt:lpwstr>
  </property>
  <property fmtid="{D5CDD505-2E9C-101B-9397-08002B2CF9AE}" pid="4" name="KSOTemplateDocerSaveRecord">
    <vt:lpwstr>eyJoZGlkIjoiMTk4ZjMzZTkxMDUzOWUwYzQ4OTViM2UwODBmYmY3N2QifQ_x003D__x003D_</vt:lpwstr>
  </property>
</Properties>
</file>